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9D1F7" w14:textId="77777777" w:rsidR="00135DE5" w:rsidRDefault="00135DE5" w:rsidP="00135DE5">
      <w:pPr>
        <w:pStyle w:val="foral-f-parrafo-centrado-c"/>
        <w:spacing w:line="276" w:lineRule="auto"/>
        <w:jc w:val="center"/>
        <w:rPr>
          <w:rFonts w:ascii="Century Gothic" w:hAnsi="Century Gothic" w:cs="Arial"/>
          <w:b/>
          <w:bCs/>
          <w:sz w:val="22"/>
          <w:szCs w:val="22"/>
        </w:rPr>
      </w:pPr>
      <w:r>
        <w:rPr>
          <w:rFonts w:ascii="Century Gothic" w:hAnsi="Century Gothic" w:cs="Arial"/>
          <w:b/>
          <w:bCs/>
          <w:sz w:val="22"/>
          <w:szCs w:val="22"/>
        </w:rPr>
        <w:t>Anexo II: Temario</w:t>
      </w:r>
    </w:p>
    <w:p w14:paraId="01689E37" w14:textId="77777777" w:rsidR="00135DE5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Temario:</w:t>
      </w:r>
    </w:p>
    <w:p w14:paraId="258A6146" w14:textId="77777777" w:rsidR="00135DE5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Será el </w:t>
      </w:r>
      <w:r w:rsidRPr="00B35B4F">
        <w:rPr>
          <w:rFonts w:ascii="Century Gothic" w:hAnsi="Century Gothic" w:cs="Arial"/>
          <w:sz w:val="22"/>
          <w:szCs w:val="22"/>
        </w:rPr>
        <w:t xml:space="preserve">vigente a 21/03/2024 y relacionado </w:t>
      </w:r>
      <w:r>
        <w:rPr>
          <w:rFonts w:ascii="Century Gothic" w:hAnsi="Century Gothic" w:cs="Arial"/>
          <w:sz w:val="22"/>
          <w:szCs w:val="22"/>
        </w:rPr>
        <w:t>con el Ayuntamiento de Uharte:</w:t>
      </w:r>
    </w:p>
    <w:p w14:paraId="48C2843C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color w:val="FF0000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Ley 39/2015, de 1 de octubre, del Procedimiento Administrativo Común de las Administraciones Públicas: </w:t>
      </w:r>
    </w:p>
    <w:p w14:paraId="6957D3EA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I, de los interesados en el procedimiento (Artículos del 3 al 12 ambos inclusive).  </w:t>
      </w:r>
    </w:p>
    <w:p w14:paraId="69699F8E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II, de la actividad de las Administraciones Públicas (Artículos 13-33). </w:t>
      </w:r>
    </w:p>
    <w:p w14:paraId="141B0BD7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IV, de las disposiciones sobre el procedimiento administrativo común. </w:t>
      </w:r>
    </w:p>
    <w:p w14:paraId="6CA1F73E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II, sección 3ª, (art. 66 a 69); </w:t>
      </w:r>
    </w:p>
    <w:p w14:paraId="1C96F1F2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V, finalización del procedimiento (art. 84- 95) </w:t>
      </w:r>
    </w:p>
    <w:p w14:paraId="65CCA475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 w:rsidRPr="00136CE5">
        <w:rPr>
          <w:rFonts w:ascii="Century Gothic" w:hAnsi="Century Gothic" w:cs="Arial"/>
          <w:sz w:val="22"/>
          <w:szCs w:val="22"/>
        </w:rPr>
        <w:t xml:space="preserve">Capítulo VI, </w:t>
      </w:r>
      <w:r>
        <w:rPr>
          <w:rFonts w:ascii="Century Gothic" w:hAnsi="Century Gothic" w:cs="Arial"/>
          <w:sz w:val="22"/>
          <w:szCs w:val="22"/>
        </w:rPr>
        <w:t xml:space="preserve">tramitación simplificada </w:t>
      </w:r>
      <w:r w:rsidRPr="00136CE5">
        <w:rPr>
          <w:rFonts w:ascii="Century Gothic" w:hAnsi="Century Gothic" w:cs="Arial"/>
          <w:sz w:val="22"/>
          <w:szCs w:val="22"/>
        </w:rPr>
        <w:t>(art. 96)</w:t>
      </w:r>
      <w:r>
        <w:rPr>
          <w:rFonts w:ascii="Century Gothic" w:hAnsi="Century Gothic" w:cs="Arial"/>
          <w:sz w:val="22"/>
          <w:szCs w:val="22"/>
        </w:rPr>
        <w:t xml:space="preserve">. </w:t>
      </w:r>
    </w:p>
    <w:p w14:paraId="76CE0AA5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Título V, de la revisión de los actos en vía administrativa; capítulo II, sección 1ª (art. 112-120)</w:t>
      </w:r>
    </w:p>
    <w:p w14:paraId="597B5C98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Ley 40/2015, de 1 de octubre, de Régimen Jurídico del Sector Público:</w:t>
      </w:r>
    </w:p>
    <w:p w14:paraId="6C9C0869" w14:textId="77777777" w:rsidR="00135DE5" w:rsidRDefault="00135DE5" w:rsidP="00135DE5">
      <w:pPr>
        <w:pStyle w:val="foral-f-parrafo-centrado-c"/>
        <w:spacing w:line="276" w:lineRule="auto"/>
        <w:ind w:left="1416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a. Título preliminar, Capítulo IV, de la responsabilidad patrimonial de las Administraciones Públicas (Artículos 32-37)</w:t>
      </w:r>
    </w:p>
    <w:p w14:paraId="38FB9224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Ley 7/1985, de 2 de abril, reguladora de las Bases de Régimen Local:</w:t>
      </w:r>
    </w:p>
    <w:p w14:paraId="26223B6F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 El Municipio Capítulo I: Población (art. 15- 18). Capítulo II: Organización. (art. 19 – 24 bis). Capítulo III Competencias (Artículos 25-28). </w:t>
      </w:r>
    </w:p>
    <w:p w14:paraId="0A4EC853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Título V: Régimen de funcionamiento de las Entidades Locales.</w:t>
      </w:r>
    </w:p>
    <w:p w14:paraId="0B67D812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Primero: Régimen de funcionamiento: Artículos 46, 51 y 52 (no todo el capítulo). </w:t>
      </w:r>
    </w:p>
    <w:p w14:paraId="29D8DBB2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Ley Foral 6/1990, de 2 de julio, de la Administración Local de Navarra.</w:t>
      </w:r>
    </w:p>
    <w:p w14:paraId="7F70F521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lastRenderedPageBreak/>
        <w:t xml:space="preserve">Título III: Régimen de funcionamiento de las Entidades Locales de Navarra. (Artículos 73-87). </w:t>
      </w:r>
    </w:p>
    <w:p w14:paraId="2B78FF68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> </w:t>
      </w:r>
      <w:r>
        <w:rPr>
          <w:rFonts w:ascii="Century Gothic" w:hAnsi="Century Gothic" w:cs="Arial"/>
          <w:sz w:val="22"/>
          <w:szCs w:val="22"/>
        </w:rPr>
        <w:t xml:space="preserve">TÍTULO IX. </w:t>
      </w:r>
    </w:p>
    <w:p w14:paraId="5BEAFB8A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I: Procedimiento y régimen jurídico: (art. 317-328). </w:t>
      </w:r>
    </w:p>
    <w:p w14:paraId="60C0D744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Impugnación y control de las actuaciones de las entidades locales de Navarra. (Artículo 332-340)</w:t>
      </w:r>
    </w:p>
    <w:p w14:paraId="610F2863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Real Decreto 2568/1986, de 28 de noviembre, por el que se aprueba el Reglamento de Organización y Funcionamiento de las Entidades Locales: </w:t>
      </w:r>
    </w:p>
    <w:p w14:paraId="1D8D5242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II: organización necesaria de los entes locales: Capítulo I, el Municipio (art. 35- 53). </w:t>
      </w:r>
    </w:p>
    <w:p w14:paraId="51995DDB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Título IV: Organización complementaria de los Entes Locales Territoriales; concejales delegados y comisiones informativas. (Artículos 119, 120, 121, 123, 124, 125, 126)</w:t>
      </w:r>
    </w:p>
    <w:p w14:paraId="03B27706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Ley Foral 2/1995, de 10 de marzo, de Haciendas Locales de Navarra.</w:t>
      </w:r>
    </w:p>
    <w:p w14:paraId="708CDA33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  <w:lang w:val="pt-PT"/>
        </w:rPr>
        <w:t xml:space="preserve">Título I: capítulo I, clases de recursos (art. 5 – 10 bis). </w:t>
      </w:r>
      <w:r>
        <w:rPr>
          <w:rFonts w:ascii="Century Gothic" w:hAnsi="Century Gothic" w:cs="Arial"/>
          <w:sz w:val="22"/>
          <w:szCs w:val="22"/>
        </w:rPr>
        <w:t xml:space="preserve">Capítulo II, disposiciones comunes (art. 11 – 21). </w:t>
      </w:r>
    </w:p>
    <w:p w14:paraId="669BB922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II: Impuestos municipales (Artículos 132-191): </w:t>
      </w:r>
    </w:p>
    <w:p w14:paraId="7F1A28B0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III: presupuesto y gasto público. Capítulo I, de los presupuestos generales (art. 192- 205). Capitulo II: Ejecución y liquidación (art. 220 – 223). </w:t>
      </w:r>
    </w:p>
    <w:p w14:paraId="2997D1E3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Ley Foral 2/2018, de 13 de abril, de Contratos Públicos:</w:t>
      </w:r>
    </w:p>
    <w:p w14:paraId="405BC54F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I, </w:t>
      </w:r>
    </w:p>
    <w:p w14:paraId="1BAD4B5B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III, sección 1ª: Definición de los contratos sometidos a la ley (art. 28 – 33). </w:t>
      </w:r>
    </w:p>
    <w:p w14:paraId="6230ABDC" w14:textId="77777777" w:rsidR="00135DE5" w:rsidRDefault="00135DE5" w:rsidP="00135DE5">
      <w:pPr>
        <w:pStyle w:val="foral-f-parrafo-centrado-c"/>
        <w:numPr>
          <w:ilvl w:val="2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V: reglas de publicidad y procedimiento de adjudicación. Sección 3ª: procedimientos de adjudicación: art. 71, 72, 80 y 81 (no toda la sección). Sección 5ª: publicidad de las licitaciones: art. 88 (no toda la sección). </w:t>
      </w:r>
      <w:r>
        <w:rPr>
          <w:rFonts w:ascii="Century Gothic" w:hAnsi="Century Gothic" w:cs="Arial"/>
          <w:sz w:val="22"/>
          <w:szCs w:val="22"/>
        </w:rPr>
        <w:lastRenderedPageBreak/>
        <w:t xml:space="preserve">Sección séptima: de la adjudicación: art. 96 – 100-101-102. (no toda la sección).  </w:t>
      </w:r>
    </w:p>
    <w:p w14:paraId="003E13E8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Decreto Foral Legislativo 1/2017 por el que se aprueba el Texto Refundido de la Ley Foral 35/2002, de 20 de diciembre, de Ordenación del Territorio y Urbanismo. </w:t>
      </w:r>
    </w:p>
    <w:p w14:paraId="688E5DDB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  <w:lang w:val="pt-PT"/>
        </w:rPr>
      </w:pPr>
      <w:r>
        <w:rPr>
          <w:rFonts w:ascii="Century Gothic" w:hAnsi="Century Gothic" w:cs="Arial"/>
          <w:sz w:val="22"/>
          <w:szCs w:val="22"/>
          <w:lang w:val="pt-PT"/>
        </w:rPr>
        <w:t xml:space="preserve">Título I: capítulo IV: los convenios urbanísticos (art. 23-26). </w:t>
      </w:r>
    </w:p>
    <w:p w14:paraId="38B38BB4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II: Capítulo II, planeamiento urbanístico municipal; sección 3ª planeamiento de desarrollo (art. 60 – 65) y sección 4ª, elaboración, aprobación y efectos de los planes urbanísticos (art 66 – 74). </w:t>
      </w:r>
    </w:p>
    <w:p w14:paraId="5B0344E4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V: Intervención administrativa en la edificación y usos del suelo y disciplina urbanística: Capítulo I, intervención en la edificación y uso del suelo; sección 1ª licencias urbanísticas (Artículos 190 - 197). Capítulo III, sección 3ª: competencias, procedimiento y prescripción del régimen sancionador (art. 223 – 225). </w:t>
      </w:r>
    </w:p>
    <w:p w14:paraId="2776CA21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Decreto Foral Legislativo 251/1993, de 30 de agosto, por el que se aprueba el Texto Refundido del Estatuto del Personal al servicio de las Administraciones Públicas de Navarra. </w:t>
      </w:r>
    </w:p>
    <w:p w14:paraId="13350BAA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II: capítulo VIII: derechos y deberes (art. 36- 59). </w:t>
      </w:r>
    </w:p>
    <w:p w14:paraId="750D2AA8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Ley Foral 5/2018, de 17 de mayo, de Transparencia, acceso a la información pública y buen gobierno. </w:t>
      </w:r>
    </w:p>
    <w:p w14:paraId="152A6E30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Título III: Capítulo II: procedimiento para el ejercicio del derecho de acceso a la información pública (art. 34- 44). </w:t>
      </w:r>
    </w:p>
    <w:p w14:paraId="17D1E45B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Reglamento UE 2016/679 del Parlamento Europeo y del Consejo, de 27 de abril de 2016, relativo a la protección de las personas físicas en lo que respecta al tratamiento de datos personales y a la libre circulación de estos datos y por el que se deroga la Directiva 95/46/CE (Reglamento general de protección de datos). </w:t>
      </w:r>
    </w:p>
    <w:p w14:paraId="6A324462" w14:textId="77777777" w:rsidR="00135DE5" w:rsidRDefault="00135DE5" w:rsidP="00135DE5">
      <w:pPr>
        <w:pStyle w:val="foral-f-parrafo-centrado-c"/>
        <w:numPr>
          <w:ilvl w:val="1"/>
          <w:numId w:val="1"/>
        </w:numPr>
        <w:tabs>
          <w:tab w:val="clear" w:pos="1440"/>
        </w:tabs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Capítulo I: art. 4º apartados del 1 al 15. </w:t>
      </w:r>
    </w:p>
    <w:p w14:paraId="25764ED3" w14:textId="77777777" w:rsidR="00135DE5" w:rsidRPr="00CE6A3D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 w:rsidRPr="00CE6A3D">
        <w:rPr>
          <w:rFonts w:ascii="Century Gothic" w:hAnsi="Century Gothic" w:cs="Arial"/>
          <w:sz w:val="22"/>
          <w:szCs w:val="22"/>
        </w:rPr>
        <w:t xml:space="preserve">Ordenanza reguladora del uso y fomento del euskera en el ámbito municipal de Huarte, publicada en el Boletín Oficial de Navarra número 153, del 22/12/2004.  (artículos 5-10) </w:t>
      </w:r>
    </w:p>
    <w:p w14:paraId="46BACBB8" w14:textId="77777777" w:rsidR="00135DE5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color w:val="FF0000"/>
          <w:sz w:val="22"/>
          <w:szCs w:val="22"/>
        </w:rPr>
      </w:pPr>
      <w:hyperlink r:id="rId5" w:history="1">
        <w:r>
          <w:rPr>
            <w:rStyle w:val="Hipervnculo"/>
            <w:rFonts w:ascii="Century Gothic" w:hAnsi="Century Gothic" w:cs="Arial"/>
            <w:sz w:val="22"/>
            <w:szCs w:val="22"/>
          </w:rPr>
          <w:t>https://bon.navarra.es/es/anuncio/-/texto/2004/153/21</w:t>
        </w:r>
      </w:hyperlink>
      <w:r>
        <w:rPr>
          <w:rFonts w:ascii="Century Gothic" w:hAnsi="Century Gothic" w:cs="Arial"/>
          <w:color w:val="FF0000"/>
          <w:sz w:val="22"/>
          <w:szCs w:val="22"/>
        </w:rPr>
        <w:t xml:space="preserve"> </w:t>
      </w:r>
    </w:p>
    <w:p w14:paraId="07262E3C" w14:textId="77777777" w:rsidR="00135DE5" w:rsidRPr="00CE6A3D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 w:rsidRPr="00CE6A3D">
        <w:rPr>
          <w:rFonts w:ascii="Century Gothic" w:hAnsi="Century Gothic" w:cs="Arial"/>
          <w:sz w:val="22"/>
          <w:szCs w:val="22"/>
        </w:rPr>
        <w:t xml:space="preserve">Ordenanza reguladora del uso de un lenguaje de imagen incluyente, publicada en el Boletín Oficial de Navarra número 74 del 18/06/2010. </w:t>
      </w:r>
    </w:p>
    <w:p w14:paraId="5EC865D9" w14:textId="77777777" w:rsidR="00135DE5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hyperlink r:id="rId6" w:history="1">
        <w:r>
          <w:rPr>
            <w:rStyle w:val="Hipervnculo"/>
            <w:rFonts w:ascii="Century Gothic" w:hAnsi="Century Gothic" w:cs="Arial"/>
            <w:sz w:val="22"/>
            <w:szCs w:val="22"/>
          </w:rPr>
          <w:t>https://bon.navarra.es/es/anuncio/-/texto/2010/74/88</w:t>
        </w:r>
      </w:hyperlink>
      <w:r>
        <w:rPr>
          <w:rFonts w:ascii="Century Gothic" w:hAnsi="Century Gothic" w:cs="Arial"/>
          <w:sz w:val="22"/>
          <w:szCs w:val="22"/>
        </w:rPr>
        <w:t xml:space="preserve"> </w:t>
      </w:r>
    </w:p>
    <w:p w14:paraId="48F81C8F" w14:textId="77777777" w:rsidR="00135DE5" w:rsidRDefault="00135DE5" w:rsidP="00135DE5">
      <w:pPr>
        <w:pStyle w:val="foral-f-parrafo-centrado-c"/>
        <w:numPr>
          <w:ilvl w:val="0"/>
          <w:numId w:val="1"/>
        </w:numPr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 xml:space="preserve">Conceptos básicos de informática: Tratamientos de textos de Word, Hoja de cálculo Excel y documentos </w:t>
      </w:r>
      <w:proofErr w:type="spellStart"/>
      <w:r>
        <w:rPr>
          <w:rFonts w:ascii="Century Gothic" w:hAnsi="Century Gothic" w:cs="Arial"/>
          <w:sz w:val="22"/>
          <w:szCs w:val="22"/>
        </w:rPr>
        <w:t>pdf</w:t>
      </w:r>
      <w:proofErr w:type="spellEnd"/>
      <w:r>
        <w:rPr>
          <w:rFonts w:ascii="Century Gothic" w:hAnsi="Century Gothic" w:cs="Arial"/>
          <w:sz w:val="22"/>
          <w:szCs w:val="22"/>
        </w:rPr>
        <w:t>.</w:t>
      </w:r>
    </w:p>
    <w:p w14:paraId="716C74E9" w14:textId="77777777" w:rsidR="00135DE5" w:rsidRPr="00024709" w:rsidRDefault="00135DE5" w:rsidP="00135DE5">
      <w:pPr>
        <w:spacing w:after="240" w:line="276" w:lineRule="auto"/>
        <w:jc w:val="both"/>
        <w:rPr>
          <w:rFonts w:ascii="Century Gothic" w:hAnsi="Century Gothic" w:cs="Arial"/>
          <w:sz w:val="22"/>
          <w:szCs w:val="22"/>
        </w:rPr>
      </w:pPr>
    </w:p>
    <w:p w14:paraId="68CDFC1D" w14:textId="77777777" w:rsidR="00135DE5" w:rsidRPr="00024709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</w:p>
    <w:p w14:paraId="414DCCE9" w14:textId="77777777" w:rsidR="00135DE5" w:rsidRPr="00024709" w:rsidRDefault="00135DE5" w:rsidP="00135DE5">
      <w:pPr>
        <w:pStyle w:val="foral-f-parrafo-centrado-c"/>
        <w:spacing w:line="276" w:lineRule="auto"/>
        <w:jc w:val="both"/>
        <w:rPr>
          <w:rFonts w:ascii="Century Gothic" w:hAnsi="Century Gothic" w:cs="Arial"/>
          <w:sz w:val="22"/>
          <w:szCs w:val="22"/>
        </w:rPr>
      </w:pPr>
    </w:p>
    <w:p w14:paraId="3C25080C" w14:textId="77777777" w:rsidR="00FC5443" w:rsidRDefault="00FC5443"/>
    <w:sectPr w:rsidR="00FC5443" w:rsidSect="00135DE5">
      <w:headerReference w:type="default" r:id="rId7"/>
      <w:footerReference w:type="even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3F115E" w14:textId="77777777" w:rsidR="00135DE5" w:rsidRDefault="00135DE5" w:rsidP="002843B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2B8A16C5" w14:textId="77777777" w:rsidR="00135DE5" w:rsidRDefault="00135DE5" w:rsidP="00CE500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9AC398" w14:textId="77777777" w:rsidR="00135DE5" w:rsidRDefault="00135DE5" w:rsidP="00024709">
    <w:pPr>
      <w:pStyle w:val="Piedepgina"/>
      <w:framePr w:wrap="around" w:vAnchor="text" w:hAnchor="page" w:x="10351" w:y="43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7</w:t>
    </w:r>
    <w:r>
      <w:rPr>
        <w:rStyle w:val="Nmerodepgina"/>
      </w:rPr>
      <w:fldChar w:fldCharType="end"/>
    </w:r>
  </w:p>
  <w:p w14:paraId="454E73DD" w14:textId="77777777" w:rsidR="00135DE5" w:rsidRDefault="00135DE5" w:rsidP="00CE5003">
    <w:pPr>
      <w:pStyle w:val="Piedepgina"/>
      <w:ind w:right="360"/>
    </w:pPr>
    <w:r>
      <w:rPr>
        <w:noProof/>
      </w:rPr>
      <w:drawing>
        <wp:inline distT="0" distB="0" distL="0" distR="0" wp14:anchorId="45E61F3A" wp14:editId="2848C5F8">
          <wp:extent cx="5400040" cy="2667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" t="-110" r="-5" b="-110"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266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BAE175" w14:textId="77777777" w:rsidR="00135DE5" w:rsidRDefault="00135DE5" w:rsidP="00024709">
    <w:pPr>
      <w:pStyle w:val="Encabezado"/>
      <w:rPr>
        <w:rFonts w:eastAsia="Arial"/>
      </w:rPr>
    </w:pPr>
    <w:r>
      <w:rPr>
        <w:noProof/>
      </w:rPr>
      <w:drawing>
        <wp:inline distT="0" distB="0" distL="0" distR="0" wp14:anchorId="6DDDB9C6" wp14:editId="6E2CC09C">
          <wp:extent cx="2095500" cy="695325"/>
          <wp:effectExtent l="0" t="0" r="0" b="9525"/>
          <wp:docPr id="1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1" t="-66" r="-21" b="-66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953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Arial"/>
      </w:rPr>
      <w:t xml:space="preserve"> </w:t>
    </w:r>
  </w:p>
  <w:p w14:paraId="7C682509" w14:textId="77777777" w:rsidR="00135DE5" w:rsidRDefault="00135DE5" w:rsidP="00024709">
    <w:pPr>
      <w:pStyle w:val="Encabezado"/>
      <w:rPr>
        <w:rFonts w:eastAsia="Arial"/>
      </w:rPr>
    </w:pPr>
  </w:p>
  <w:p w14:paraId="4261BAD0" w14:textId="77777777" w:rsidR="00135DE5" w:rsidRPr="00417722" w:rsidRDefault="00135DE5" w:rsidP="00417722">
    <w:pPr>
      <w:pStyle w:val="Encabezado"/>
      <w:jc w:val="right"/>
      <w:rPr>
        <w:i/>
        <w:iCs/>
      </w:rPr>
    </w:pPr>
    <w:r w:rsidRPr="00417722">
      <w:rPr>
        <w:rFonts w:eastAsia="Arial"/>
        <w:i/>
        <w:iCs/>
      </w:rPr>
      <w:t xml:space="preserve">Convocatoria aprobada por la Resolución de </w:t>
    </w:r>
    <w:r w:rsidRPr="00E7774B">
      <w:rPr>
        <w:rFonts w:eastAsia="Arial"/>
        <w:i/>
        <w:iCs/>
      </w:rPr>
      <w:t xml:space="preserve">Alcaldía </w:t>
    </w:r>
    <w:proofErr w:type="spellStart"/>
    <w:r w:rsidRPr="00E7774B">
      <w:rPr>
        <w:rFonts w:eastAsia="Arial"/>
        <w:i/>
        <w:iCs/>
      </w:rPr>
      <w:t>nº</w:t>
    </w:r>
    <w:proofErr w:type="spellEnd"/>
    <w:r w:rsidRPr="00E7774B">
      <w:rPr>
        <w:rFonts w:eastAsia="Arial"/>
        <w:i/>
        <w:iCs/>
      </w:rPr>
      <w:t xml:space="preserve"> </w:t>
    </w:r>
    <w:r w:rsidRPr="00E7774B">
      <w:rPr>
        <w:rFonts w:eastAsia="Arial"/>
        <w:i/>
        <w:iCs/>
      </w:rPr>
      <w:t>2119/2024</w:t>
    </w:r>
  </w:p>
  <w:p w14:paraId="3A4890CF" w14:textId="77777777" w:rsidR="00135DE5" w:rsidRDefault="00135D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4049CC"/>
    <w:multiLevelType w:val="hybridMultilevel"/>
    <w:tmpl w:val="D152B52A"/>
    <w:lvl w:ilvl="0" w:tplc="FA88C352">
      <w:start w:val="1"/>
      <w:numFmt w:val="decimal"/>
      <w:lvlText w:val="%1-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343273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E5"/>
    <w:rsid w:val="00135DE5"/>
    <w:rsid w:val="00607030"/>
    <w:rsid w:val="006F50EE"/>
    <w:rsid w:val="00CA2B5D"/>
    <w:rsid w:val="00D32306"/>
    <w:rsid w:val="00FC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6C3DA"/>
  <w15:chartTrackingRefBased/>
  <w15:docId w15:val="{7131F93A-140C-4A98-BBDB-DEF6CE16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DE5"/>
    <w:pPr>
      <w:spacing w:after="0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35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35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35D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35D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35D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35D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35D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35D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5D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35D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35D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D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35D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35D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35D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35D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35D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35D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35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35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35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35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35D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35D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35D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35D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35D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35DE5"/>
    <w:rPr>
      <w:b/>
      <w:bCs/>
      <w:smallCaps/>
      <w:color w:val="0F4761" w:themeColor="accent1" w:themeShade="BF"/>
      <w:spacing w:val="5"/>
    </w:rPr>
  </w:style>
  <w:style w:type="paragraph" w:customStyle="1" w:styleId="foral-f-parrafo-centrado-c">
    <w:name w:val="foral-f-parrafo-centrado-c"/>
    <w:basedOn w:val="Normal"/>
    <w:rsid w:val="00135DE5"/>
    <w:pPr>
      <w:spacing w:after="240"/>
    </w:pPr>
  </w:style>
  <w:style w:type="paragraph" w:styleId="Piedepgina">
    <w:name w:val="footer"/>
    <w:basedOn w:val="Normal"/>
    <w:link w:val="PiedepginaCar"/>
    <w:rsid w:val="00135DE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135DE5"/>
    <w:rPr>
      <w:rFonts w:ascii="Times New Roman" w:eastAsia="Times New Roman" w:hAnsi="Times New Roman" w:cs="Times New Roman"/>
      <w:kern w:val="0"/>
      <w:lang w:eastAsia="es-ES"/>
      <w14:ligatures w14:val="none"/>
    </w:rPr>
  </w:style>
  <w:style w:type="character" w:styleId="Nmerodepgina">
    <w:name w:val="page number"/>
    <w:basedOn w:val="Fuentedeprrafopredeter"/>
    <w:rsid w:val="00135DE5"/>
    <w:rPr>
      <w:rFonts w:cs="Times New Roman"/>
    </w:rPr>
  </w:style>
  <w:style w:type="character" w:styleId="Hipervnculo">
    <w:name w:val="Hyperlink"/>
    <w:basedOn w:val="Fuentedeprrafopredeter"/>
    <w:rsid w:val="00135DE5"/>
    <w:rPr>
      <w:rFonts w:cs="Times New Roman"/>
      <w:color w:val="0000FF"/>
      <w:u w:val="single"/>
    </w:rPr>
  </w:style>
  <w:style w:type="paragraph" w:styleId="Encabezado">
    <w:name w:val="header"/>
    <w:basedOn w:val="Normal"/>
    <w:link w:val="EncabezadoCar"/>
    <w:rsid w:val="00135DE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135DE5"/>
    <w:rPr>
      <w:rFonts w:ascii="Times New Roman" w:eastAsia="Times New Roman" w:hAnsi="Times New Roman" w:cs="Times New Roman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n.navarra.es/es/anuncio/-/texto/2010/74/8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on.navarra.es/es/anuncio/-/texto/2004/153/2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788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RRHH</dc:creator>
  <cp:keywords/>
  <dc:description/>
  <cp:lastModifiedBy>RRHH</cp:lastModifiedBy>
  <cp:revision>1</cp:revision>
  <dcterms:created xsi:type="dcterms:W3CDTF">2024-03-27T12:26:00Z</dcterms:created>
  <dcterms:modified xsi:type="dcterms:W3CDTF">2024-03-27T12:27:00Z</dcterms:modified>
</cp:coreProperties>
</file>