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BCFF643" w14:textId="154B8392" w:rsidR="00973AE8" w:rsidRPr="00446BE3" w:rsidRDefault="00446BE3" w:rsidP="00446BE3">
      <w:pPr>
        <w:ind w:left="709"/>
        <w:rPr>
          <w:rFonts w:cs="Calibri"/>
          <w:b/>
          <w:bCs/>
        </w:rPr>
      </w:pPr>
      <w:r w:rsidRPr="00446BE3">
        <w:rPr>
          <w:rFonts w:cs="Calibri"/>
          <w:b/>
          <w:bCs/>
        </w:rPr>
        <w:t>Salbuespenezko merezimendu-lehiaketaren sistemaren bidez, enplegu publikoan behin-behinekotasuna murrizteko egonkortze-prozesuen esparruan, gazteria-teknikariaren plaza bat betetzeko deialdia.</w:t>
      </w:r>
    </w:p>
    <w:p w14:paraId="5A05F4FE" w14:textId="77777777" w:rsidR="00446BE3" w:rsidRPr="00446BE3" w:rsidRDefault="00446BE3" w:rsidP="00446BE3">
      <w:pPr>
        <w:ind w:left="709"/>
        <w:rPr>
          <w:rFonts w:cs="Calibri"/>
          <w:b/>
          <w:bCs/>
        </w:rPr>
      </w:pPr>
    </w:p>
    <w:p w14:paraId="021A52C9" w14:textId="77777777" w:rsidR="00446BE3" w:rsidRPr="00446BE3" w:rsidRDefault="00446BE3" w:rsidP="00446BE3">
      <w:pPr>
        <w:spacing w:after="160" w:line="259" w:lineRule="auto"/>
        <w:ind w:left="708"/>
        <w:rPr>
          <w:rFonts w:eastAsia="Calibri" w:cs="Arial"/>
          <w:kern w:val="2"/>
          <w:lang w:eastAsia="en-US"/>
        </w:rPr>
      </w:pPr>
      <w:r w:rsidRPr="00446BE3">
        <w:rPr>
          <w:rFonts w:eastAsia="Calibri" w:cs="Arial"/>
          <w:kern w:val="2"/>
          <w:lang w:eastAsia="en-US"/>
        </w:rPr>
        <w:t>-------------------------------------------------------------------------------------------------------------------</w:t>
      </w:r>
    </w:p>
    <w:p w14:paraId="46E6966D" w14:textId="7F0699B4" w:rsidR="00446BE3" w:rsidRPr="00446BE3" w:rsidRDefault="00446BE3" w:rsidP="00446BE3">
      <w:pPr>
        <w:spacing w:after="160" w:line="259" w:lineRule="auto"/>
        <w:ind w:left="708"/>
        <w:rPr>
          <w:rFonts w:eastAsia="Calibri" w:cs="Arial"/>
          <w:i/>
          <w:iCs/>
          <w:kern w:val="2"/>
          <w:lang w:eastAsia="en-US"/>
        </w:rPr>
      </w:pPr>
      <w:r w:rsidRPr="00446BE3">
        <w:rPr>
          <w:rFonts w:eastAsia="Calibri" w:cs="Arial"/>
          <w:i/>
          <w:iCs/>
          <w:kern w:val="2"/>
          <w:lang w:eastAsia="en-US"/>
        </w:rPr>
        <w:t>Epaimahaia eratzeko akta</w:t>
      </w:r>
      <w:r w:rsidRPr="00446BE3">
        <w:rPr>
          <w:rFonts w:eastAsia="Calibri" w:cs="Arial"/>
          <w:i/>
          <w:iCs/>
          <w:kern w:val="2"/>
          <w:lang w:eastAsia="en-US"/>
        </w:rPr>
        <w:t>,</w:t>
      </w:r>
    </w:p>
    <w:p w14:paraId="1725B04A" w14:textId="4060A8F2" w:rsidR="00446BE3" w:rsidRPr="00446BE3" w:rsidRDefault="00446BE3" w:rsidP="00446BE3">
      <w:pPr>
        <w:spacing w:after="160" w:line="259" w:lineRule="auto"/>
        <w:ind w:left="708"/>
        <w:rPr>
          <w:rFonts w:eastAsia="Calibri" w:cs="Arial"/>
          <w:kern w:val="2"/>
          <w:lang w:eastAsia="en-US"/>
        </w:rPr>
      </w:pPr>
      <w:r w:rsidRPr="00446BE3">
        <w:rPr>
          <w:rFonts w:eastAsia="Calibri" w:cs="Arial"/>
          <w:kern w:val="2"/>
          <w:lang w:eastAsia="en-US"/>
        </w:rPr>
        <w:t>Uharte</w:t>
      </w:r>
      <w:r w:rsidRPr="00446BE3">
        <w:rPr>
          <w:rFonts w:eastAsia="Calibri" w:cs="Arial"/>
          <w:kern w:val="2"/>
          <w:lang w:eastAsia="en-US"/>
        </w:rPr>
        <w:t xml:space="preserve">, </w:t>
      </w:r>
      <w:r w:rsidRPr="00446BE3">
        <w:rPr>
          <w:rFonts w:eastAsia="Calibri" w:cs="Arial"/>
          <w:kern w:val="2"/>
          <w:lang w:eastAsia="en-US"/>
        </w:rPr>
        <w:t xml:space="preserve">2024ko otsailaren </w:t>
      </w:r>
      <w:r w:rsidRPr="00446BE3">
        <w:rPr>
          <w:rFonts w:eastAsia="Calibri" w:cs="Arial"/>
          <w:kern w:val="2"/>
          <w:lang w:eastAsia="en-US"/>
        </w:rPr>
        <w:t>20</w:t>
      </w:r>
      <w:r w:rsidRPr="00446BE3">
        <w:rPr>
          <w:rFonts w:eastAsia="Calibri" w:cs="Arial"/>
          <w:kern w:val="2"/>
          <w:lang w:eastAsia="en-US"/>
        </w:rPr>
        <w:t>an</w:t>
      </w:r>
    </w:p>
    <w:p w14:paraId="1BE8C573" w14:textId="57CC32AF" w:rsidR="00446BE3" w:rsidRPr="00446BE3" w:rsidRDefault="00446BE3" w:rsidP="00446BE3">
      <w:pPr>
        <w:spacing w:after="160" w:line="259" w:lineRule="auto"/>
        <w:ind w:left="708"/>
        <w:rPr>
          <w:rFonts w:eastAsia="Calibri" w:cs="Arial"/>
          <w:kern w:val="2"/>
          <w:lang w:eastAsia="en-US"/>
        </w:rPr>
      </w:pPr>
      <w:r w:rsidRPr="00446BE3">
        <w:rPr>
          <w:rFonts w:eastAsia="Calibri" w:cs="Arial"/>
          <w:kern w:val="2"/>
          <w:lang w:eastAsia="en-US"/>
        </w:rPr>
        <w:t>Bilduta</w:t>
      </w:r>
      <w:r w:rsidRPr="00446BE3">
        <w:rPr>
          <w:rFonts w:eastAsia="Calibri" w:cs="Arial"/>
          <w:kern w:val="2"/>
          <w:lang w:eastAsia="en-US"/>
        </w:rPr>
        <w:t>:</w:t>
      </w:r>
    </w:p>
    <w:p w14:paraId="4BEB99F4" w14:textId="2F344A7E" w:rsidR="00446BE3" w:rsidRPr="00446BE3" w:rsidRDefault="00446BE3" w:rsidP="00446BE3">
      <w:pPr>
        <w:pStyle w:val="Prrafodelista"/>
        <w:numPr>
          <w:ilvl w:val="0"/>
          <w:numId w:val="3"/>
        </w:numPr>
        <w:ind w:left="1428" w:hanging="360"/>
        <w:jc w:val="both"/>
        <w:rPr>
          <w:rFonts w:asciiTheme="minorHAnsi" w:eastAsiaTheme="minorHAnsi" w:hAnsiTheme="minorHAnsi" w:cstheme="minorBidi"/>
          <w:lang w:val="eu-ES"/>
          <w14:ligatures w14:val="standardContextual"/>
        </w:rPr>
      </w:pPr>
      <w:r w:rsidRPr="00446BE3">
        <w:rPr>
          <w:rFonts w:asciiTheme="minorHAnsi" w:eastAsiaTheme="minorHAnsi" w:hAnsiTheme="minorHAnsi" w:cstheme="minorBidi"/>
          <w:lang w:val="eu-ES"/>
          <w14:ligatures w14:val="standardContextual"/>
        </w:rPr>
        <w:t>Alfredo Arruiz Sotés</w:t>
      </w:r>
      <w:r w:rsidRPr="00446BE3">
        <w:rPr>
          <w:rFonts w:asciiTheme="minorHAnsi" w:eastAsiaTheme="minorHAnsi" w:hAnsiTheme="minorHAnsi" w:cstheme="minorBidi"/>
          <w:lang w:val="eu-ES"/>
          <w14:ligatures w14:val="standardContextual"/>
        </w:rPr>
        <w:t xml:space="preserve">, </w:t>
      </w:r>
      <w:r w:rsidRPr="00446BE3">
        <w:rPr>
          <w:rFonts w:asciiTheme="minorHAnsi" w:eastAsiaTheme="minorHAnsi" w:hAnsiTheme="minorHAnsi" w:cstheme="minorBidi"/>
          <w:lang w:val="eu-ES"/>
          <w14:ligatures w14:val="standardContextual"/>
        </w:rPr>
        <w:t xml:space="preserve">Uharteko Udalaren alkatea, </w:t>
      </w:r>
      <w:r w:rsidRPr="00446BE3">
        <w:rPr>
          <w:rFonts w:asciiTheme="minorHAnsi" w:eastAsiaTheme="minorHAnsi" w:hAnsiTheme="minorHAnsi" w:cstheme="minorBidi"/>
          <w:lang w:val="eu-ES"/>
          <w14:ligatures w14:val="standardContextual"/>
        </w:rPr>
        <w:t>e</w:t>
      </w:r>
      <w:r w:rsidRPr="00446BE3">
        <w:rPr>
          <w:rFonts w:asciiTheme="minorHAnsi" w:eastAsiaTheme="minorHAnsi" w:hAnsiTheme="minorHAnsi" w:cstheme="minorBidi"/>
          <w:lang w:val="eu-ES"/>
          <w14:ligatures w14:val="standardContextual"/>
        </w:rPr>
        <w:t>paimahai buru</w:t>
      </w:r>
      <w:r w:rsidRPr="00446BE3">
        <w:rPr>
          <w:rFonts w:asciiTheme="minorHAnsi" w:eastAsiaTheme="minorHAnsi" w:hAnsiTheme="minorHAnsi" w:cstheme="minorBidi"/>
          <w:lang w:val="eu-ES"/>
          <w14:ligatures w14:val="standardContextual"/>
        </w:rPr>
        <w:t xml:space="preserve"> gisa</w:t>
      </w:r>
      <w:r w:rsidRPr="00446BE3">
        <w:rPr>
          <w:rFonts w:asciiTheme="minorHAnsi" w:eastAsiaTheme="minorHAnsi" w:hAnsiTheme="minorHAnsi" w:cstheme="minorBidi"/>
          <w:lang w:val="eu-ES"/>
          <w14:ligatures w14:val="standardContextual"/>
        </w:rPr>
        <w:t>.</w:t>
      </w:r>
    </w:p>
    <w:p w14:paraId="287E02EE" w14:textId="2E1A0A60" w:rsidR="00446BE3" w:rsidRPr="00446BE3" w:rsidRDefault="00446BE3" w:rsidP="00446BE3">
      <w:pPr>
        <w:pStyle w:val="Prrafodelista"/>
        <w:numPr>
          <w:ilvl w:val="0"/>
          <w:numId w:val="3"/>
        </w:numPr>
        <w:ind w:left="1428" w:hanging="360"/>
        <w:jc w:val="both"/>
        <w:rPr>
          <w:rFonts w:asciiTheme="minorHAnsi" w:eastAsiaTheme="minorHAnsi" w:hAnsiTheme="minorHAnsi" w:cstheme="minorBidi"/>
          <w:lang w:val="eu-ES"/>
          <w14:ligatures w14:val="standardContextual"/>
        </w:rPr>
      </w:pPr>
      <w:r w:rsidRPr="00446BE3">
        <w:rPr>
          <w:rFonts w:asciiTheme="minorHAnsi" w:eastAsiaTheme="minorHAnsi" w:hAnsiTheme="minorHAnsi" w:cstheme="minorBidi"/>
          <w:lang w:val="eu-ES"/>
          <w14:ligatures w14:val="standardContextual"/>
        </w:rPr>
        <w:t xml:space="preserve">Eduardo Carrasco </w:t>
      </w:r>
      <w:proofErr w:type="spellStart"/>
      <w:r w:rsidRPr="00446BE3">
        <w:rPr>
          <w:rFonts w:asciiTheme="minorHAnsi" w:eastAsiaTheme="minorHAnsi" w:hAnsiTheme="minorHAnsi" w:cstheme="minorBidi"/>
          <w:lang w:val="eu-ES"/>
          <w14:ligatures w14:val="standardContextual"/>
        </w:rPr>
        <w:t>Benítez</w:t>
      </w:r>
      <w:proofErr w:type="spellEnd"/>
      <w:r w:rsidRPr="00446BE3">
        <w:rPr>
          <w:rFonts w:asciiTheme="minorHAnsi" w:eastAsiaTheme="minorHAnsi" w:hAnsiTheme="minorHAnsi" w:cstheme="minorBidi"/>
          <w:lang w:val="eu-ES"/>
          <w14:ligatures w14:val="standardContextual"/>
        </w:rPr>
        <w:t>, ordezkaritza sindikalak proposatuta, bokal gisa.</w:t>
      </w:r>
    </w:p>
    <w:p w14:paraId="2ED15588" w14:textId="380CC40A" w:rsidR="00446BE3" w:rsidRPr="00446BE3" w:rsidRDefault="00446BE3" w:rsidP="00446BE3">
      <w:pPr>
        <w:pStyle w:val="Prrafodelista"/>
        <w:numPr>
          <w:ilvl w:val="0"/>
          <w:numId w:val="3"/>
        </w:numPr>
        <w:ind w:left="1428" w:hanging="360"/>
        <w:jc w:val="both"/>
        <w:rPr>
          <w:rFonts w:asciiTheme="minorHAnsi" w:eastAsiaTheme="minorHAnsi" w:hAnsiTheme="minorHAnsi" w:cstheme="minorBidi"/>
          <w:lang w:val="eu-ES"/>
          <w14:ligatures w14:val="standardContextual"/>
        </w:rPr>
      </w:pPr>
      <w:r w:rsidRPr="00446BE3">
        <w:rPr>
          <w:rFonts w:asciiTheme="minorHAnsi" w:eastAsiaTheme="minorHAnsi" w:hAnsiTheme="minorHAnsi" w:cstheme="minorBidi"/>
          <w:lang w:val="eu-ES"/>
          <w14:ligatures w14:val="standardContextual"/>
        </w:rPr>
        <w:t>Gustavo Jiménez Martín, Udaleko giza baliabideen kudeatzailea, epaimahaiko idazkari gisa.</w:t>
      </w:r>
    </w:p>
    <w:p w14:paraId="55692C19" w14:textId="77777777" w:rsidR="00446BE3" w:rsidRPr="00446BE3" w:rsidRDefault="00446BE3" w:rsidP="00446BE3">
      <w:pPr>
        <w:spacing w:after="160" w:line="259" w:lineRule="auto"/>
        <w:ind w:left="708"/>
        <w:rPr>
          <w:rFonts w:asciiTheme="minorHAnsi" w:eastAsiaTheme="minorHAnsi" w:hAnsiTheme="minorHAnsi" w:cstheme="minorBidi"/>
          <w:kern w:val="2"/>
          <w:lang w:eastAsia="en-US"/>
          <w14:ligatures w14:val="standardContextual"/>
        </w:rPr>
      </w:pPr>
    </w:p>
    <w:p w14:paraId="42424E5D" w14:textId="52B8E581" w:rsidR="00446BE3" w:rsidRDefault="00446BE3" w:rsidP="00446BE3">
      <w:pPr>
        <w:numPr>
          <w:ilvl w:val="0"/>
          <w:numId w:val="4"/>
        </w:numPr>
        <w:spacing w:after="160" w:line="259" w:lineRule="auto"/>
        <w:rPr>
          <w:rFonts w:asciiTheme="minorHAnsi" w:eastAsiaTheme="minorHAnsi" w:hAnsiTheme="minorHAnsi" w:cstheme="minorBidi"/>
          <w:kern w:val="2"/>
          <w:lang w:eastAsia="en-US"/>
          <w14:ligatures w14:val="standardContextual"/>
        </w:rPr>
      </w:pPr>
      <w:r w:rsidRPr="00446BE3">
        <w:rPr>
          <w:rFonts w:asciiTheme="minorHAnsi" w:eastAsiaTheme="minorHAnsi" w:hAnsiTheme="minorHAnsi" w:cstheme="minorBidi"/>
          <w:kern w:val="2"/>
          <w:lang w:eastAsia="en-US"/>
          <w14:ligatures w14:val="standardContextual"/>
        </w:rPr>
        <w:t>GAZTERIAKO TEKNIKARI plaza bat merezimendu-lehiaketaren salbuespenezko sistemaren bidez betetzeko deialdia ebazteko epaimahaia eratu da, enplegu publikoan behin-behinekotasuna murrizteko egonkortze-prozesuen esparruan, deialdiaren 5. oinarrian ezarritakoarekin bat etorriz (2022ko abenduaren 19ko Nafarroako Aldizkari Ofizialean argitaratu zen, 253. zenbakian).</w:t>
      </w:r>
    </w:p>
    <w:p w14:paraId="2090166C" w14:textId="77777777" w:rsidR="00446BE3" w:rsidRPr="00446BE3" w:rsidRDefault="00446BE3" w:rsidP="00446BE3">
      <w:pPr>
        <w:spacing w:after="160" w:line="259" w:lineRule="auto"/>
        <w:ind w:left="708"/>
        <w:rPr>
          <w:rFonts w:asciiTheme="minorHAnsi" w:eastAsiaTheme="minorHAnsi" w:hAnsiTheme="minorHAnsi" w:cstheme="minorBidi"/>
          <w:kern w:val="2"/>
          <w:lang w:eastAsia="en-US"/>
          <w14:ligatures w14:val="standardContextual"/>
        </w:rPr>
      </w:pPr>
    </w:p>
    <w:p w14:paraId="07E0A3F0" w14:textId="2DA7A4AE" w:rsidR="00446BE3" w:rsidRPr="00446BE3" w:rsidRDefault="00446BE3" w:rsidP="00446BE3">
      <w:pPr>
        <w:spacing w:after="160" w:line="259" w:lineRule="auto"/>
        <w:ind w:left="708"/>
        <w:rPr>
          <w:rFonts w:asciiTheme="minorHAnsi" w:eastAsiaTheme="minorHAnsi" w:hAnsiTheme="minorHAnsi" w:cstheme="minorBidi"/>
          <w:kern w:val="2"/>
          <w:lang w:eastAsia="en-US"/>
          <w14:ligatures w14:val="standardContextual"/>
        </w:rPr>
      </w:pPr>
      <w:r w:rsidRPr="00446BE3">
        <w:rPr>
          <w:rFonts w:asciiTheme="minorHAnsi" w:eastAsiaTheme="minorHAnsi" w:hAnsiTheme="minorHAnsi" w:cstheme="minorBidi"/>
          <w:kern w:val="2"/>
          <w:lang w:eastAsia="en-US"/>
          <w14:ligatures w14:val="standardContextual"/>
        </w:rPr>
        <w:t>2. Deialdiaren espedientearen egoeraren berri ematen da.</w:t>
      </w:r>
    </w:p>
    <w:p w14:paraId="4C3527A8" w14:textId="4C75BEA1" w:rsidR="00446BE3" w:rsidRPr="00446BE3" w:rsidRDefault="00446BE3" w:rsidP="00446BE3">
      <w:pPr>
        <w:pStyle w:val="Prrafodelista"/>
        <w:numPr>
          <w:ilvl w:val="0"/>
          <w:numId w:val="3"/>
        </w:numPr>
        <w:ind w:left="1428" w:hanging="360"/>
        <w:jc w:val="both"/>
        <w:rPr>
          <w:rFonts w:asciiTheme="minorHAnsi" w:eastAsiaTheme="minorHAnsi" w:hAnsiTheme="minorHAnsi" w:cstheme="minorBidi"/>
          <w:lang w:val="eu-ES"/>
          <w14:ligatures w14:val="standardContextual"/>
        </w:rPr>
      </w:pPr>
      <w:r w:rsidRPr="00446BE3">
        <w:rPr>
          <w:rFonts w:asciiTheme="minorHAnsi" w:eastAsiaTheme="minorHAnsi" w:hAnsiTheme="minorHAnsi" w:cstheme="minorBidi"/>
          <w:lang w:val="eu-ES"/>
          <w14:ligatures w14:val="standardContextual"/>
        </w:rPr>
        <w:t>Alkatetzaren 2024-0071 zenbakiko ebazpenaren bidez, deialdian onartutako eta baztertutako izangaien behin-behineko zerrendak onartu ziren.</w:t>
      </w:r>
    </w:p>
    <w:p w14:paraId="2E3F3FBC" w14:textId="2E1CD404" w:rsidR="00446BE3" w:rsidRPr="00446BE3" w:rsidRDefault="00446BE3" w:rsidP="00446BE3">
      <w:pPr>
        <w:pStyle w:val="Prrafodelista"/>
        <w:numPr>
          <w:ilvl w:val="0"/>
          <w:numId w:val="3"/>
        </w:numPr>
        <w:ind w:left="1428" w:hanging="360"/>
        <w:jc w:val="both"/>
        <w:rPr>
          <w:rFonts w:asciiTheme="minorHAnsi" w:eastAsiaTheme="minorHAnsi" w:hAnsiTheme="minorHAnsi" w:cstheme="minorBidi"/>
          <w:lang w:val="eu-ES"/>
          <w14:ligatures w14:val="standardContextual"/>
        </w:rPr>
      </w:pPr>
      <w:r w:rsidRPr="00446BE3">
        <w:rPr>
          <w:rFonts w:asciiTheme="minorHAnsi" w:eastAsiaTheme="minorHAnsi" w:hAnsiTheme="minorHAnsi" w:cstheme="minorBidi"/>
          <w:lang w:val="eu-ES"/>
          <w14:ligatures w14:val="standardContextual"/>
        </w:rPr>
        <w:t>Alkatetzaren 2024-0074 zenbakiko ebazpenaren bidez, deialdiko epaimahaikideak izendatu ziren.</w:t>
      </w:r>
    </w:p>
    <w:p w14:paraId="4B7CD1C2" w14:textId="15B5B82E" w:rsidR="00446BE3" w:rsidRPr="00446BE3" w:rsidRDefault="00446BE3" w:rsidP="00446BE3">
      <w:pPr>
        <w:pStyle w:val="Prrafodelista"/>
        <w:numPr>
          <w:ilvl w:val="0"/>
          <w:numId w:val="3"/>
        </w:numPr>
        <w:ind w:left="1428" w:hanging="360"/>
        <w:jc w:val="both"/>
        <w:rPr>
          <w:rFonts w:asciiTheme="minorHAnsi" w:eastAsiaTheme="minorHAnsi" w:hAnsiTheme="minorHAnsi" w:cstheme="minorBidi"/>
          <w:lang w:val="eu-ES"/>
          <w14:ligatures w14:val="standardContextual"/>
        </w:rPr>
      </w:pPr>
      <w:r w:rsidRPr="00446BE3">
        <w:rPr>
          <w:rFonts w:asciiTheme="minorHAnsi" w:eastAsiaTheme="minorHAnsi" w:hAnsiTheme="minorHAnsi" w:cstheme="minorBidi"/>
          <w:lang w:val="eu-ES"/>
          <w14:ligatures w14:val="standardContextual"/>
        </w:rPr>
        <w:t>Alkatetzaren 2024-0188 zenbakiko ebazpenaren bidez, deialdian onartutako eta baztertutako izangaien behin</w:t>
      </w:r>
      <w:r>
        <w:rPr>
          <w:rFonts w:asciiTheme="minorHAnsi" w:eastAsiaTheme="minorHAnsi" w:hAnsiTheme="minorHAnsi" w:cstheme="minorBidi"/>
          <w:lang w:val="eu-ES"/>
          <w14:ligatures w14:val="standardContextual"/>
        </w:rPr>
        <w:t>-</w:t>
      </w:r>
      <w:r w:rsidRPr="00446BE3">
        <w:rPr>
          <w:rFonts w:asciiTheme="minorHAnsi" w:eastAsiaTheme="minorHAnsi" w:hAnsiTheme="minorHAnsi" w:cstheme="minorBidi"/>
          <w:lang w:val="eu-ES"/>
          <w14:ligatures w14:val="standardContextual"/>
        </w:rPr>
        <w:t>betiko zerrendak onartu ziren.</w:t>
      </w:r>
    </w:p>
    <w:p w14:paraId="049AB9E6" w14:textId="0E87DDBD" w:rsidR="00446BE3" w:rsidRDefault="00446BE3" w:rsidP="00446BE3">
      <w:pPr>
        <w:spacing w:after="160" w:line="259" w:lineRule="auto"/>
        <w:ind w:left="708"/>
        <w:rPr>
          <w:rFonts w:eastAsia="Calibri" w:cs="Arial"/>
          <w:kern w:val="2"/>
          <w:lang w:eastAsia="en-US"/>
        </w:rPr>
      </w:pPr>
      <w:r w:rsidRPr="00446BE3">
        <w:rPr>
          <w:rFonts w:eastAsia="Calibri" w:cs="Arial"/>
          <w:kern w:val="2"/>
          <w:lang w:eastAsia="en-US"/>
        </w:rPr>
        <w:t>Aipatutako erabakiak deialdiaren web-orrian dagokion aipamenean argitaratu dira.</w:t>
      </w:r>
    </w:p>
    <w:p w14:paraId="689E5800" w14:textId="77777777" w:rsidR="00446BE3" w:rsidRDefault="00446BE3" w:rsidP="00446BE3">
      <w:pPr>
        <w:spacing w:after="160" w:line="259" w:lineRule="auto"/>
        <w:ind w:left="708"/>
        <w:rPr>
          <w:rFonts w:eastAsia="Calibri" w:cs="Arial"/>
          <w:kern w:val="2"/>
          <w:lang w:eastAsia="en-US"/>
        </w:rPr>
      </w:pPr>
    </w:p>
    <w:p w14:paraId="0DC88F35" w14:textId="4114A085" w:rsidR="00446BE3" w:rsidRDefault="00446BE3" w:rsidP="00446BE3">
      <w:pPr>
        <w:spacing w:after="160" w:line="259" w:lineRule="auto"/>
        <w:ind w:left="708"/>
        <w:rPr>
          <w:rFonts w:eastAsia="Calibri" w:cs="Arial"/>
          <w:kern w:val="2"/>
          <w:lang w:eastAsia="en-US"/>
        </w:rPr>
      </w:pPr>
      <w:r w:rsidRPr="00446BE3">
        <w:rPr>
          <w:rFonts w:eastAsia="Calibri" w:cs="Arial"/>
          <w:kern w:val="2"/>
          <w:lang w:eastAsia="en-US"/>
        </w:rPr>
        <w:t>3.</w:t>
      </w:r>
      <w:r>
        <w:rPr>
          <w:rFonts w:eastAsia="Calibri" w:cs="Arial"/>
          <w:kern w:val="2"/>
          <w:lang w:eastAsia="en-US"/>
        </w:rPr>
        <w:t xml:space="preserve"> </w:t>
      </w:r>
      <w:r w:rsidRPr="00446BE3">
        <w:rPr>
          <w:rFonts w:eastAsia="Calibri" w:cs="Arial"/>
          <w:kern w:val="2"/>
          <w:lang w:eastAsia="en-US"/>
        </w:rPr>
        <w:t>Izangaiek alegatutako merezimenduen behin-behineko balorazio hau onartu eta web orrian argitaratzeko agintzen da:</w:t>
      </w:r>
    </w:p>
    <w:tbl>
      <w:tblPr>
        <w:tblW w:w="6513" w:type="dxa"/>
        <w:tblInd w:w="708" w:type="dxa"/>
        <w:tblCellMar>
          <w:left w:w="70" w:type="dxa"/>
          <w:right w:w="70" w:type="dxa"/>
        </w:tblCellMar>
        <w:tblLook w:val="04A0" w:firstRow="1" w:lastRow="0" w:firstColumn="1" w:lastColumn="0" w:noHBand="0" w:noVBand="1"/>
      </w:tblPr>
      <w:tblGrid>
        <w:gridCol w:w="2481"/>
        <w:gridCol w:w="1461"/>
        <w:gridCol w:w="1636"/>
        <w:gridCol w:w="1480"/>
      </w:tblGrid>
      <w:tr w:rsidR="00446BE3" w:rsidRPr="00446BE3" w14:paraId="02AE52E5" w14:textId="77777777" w:rsidTr="00446BE3">
        <w:trPr>
          <w:trHeight w:val="675"/>
        </w:trPr>
        <w:tc>
          <w:tcPr>
            <w:tcW w:w="2481" w:type="dxa"/>
            <w:tcBorders>
              <w:top w:val="single" w:sz="4" w:space="0" w:color="auto"/>
              <w:left w:val="single" w:sz="4" w:space="0" w:color="auto"/>
              <w:bottom w:val="single" w:sz="4" w:space="0" w:color="auto"/>
              <w:right w:val="single" w:sz="4" w:space="0" w:color="auto"/>
            </w:tcBorders>
            <w:shd w:val="clear" w:color="000000" w:fill="C00000"/>
            <w:noWrap/>
            <w:vAlign w:val="center"/>
            <w:hideMark/>
          </w:tcPr>
          <w:p w14:paraId="210B2906" w14:textId="4234310B" w:rsidR="00446BE3" w:rsidRPr="00446BE3" w:rsidRDefault="00446BE3" w:rsidP="00446BE3">
            <w:pPr>
              <w:spacing w:after="160" w:line="259" w:lineRule="auto"/>
              <w:jc w:val="center"/>
              <w:rPr>
                <w:rFonts w:asciiTheme="minorHAnsi" w:eastAsiaTheme="minorHAnsi" w:hAnsiTheme="minorHAnsi" w:cstheme="minorBidi"/>
                <w:b/>
                <w:bCs/>
                <w:kern w:val="2"/>
                <w:lang w:eastAsia="en-US"/>
                <w14:ligatures w14:val="standardContextual"/>
              </w:rPr>
            </w:pPr>
            <w:r w:rsidRPr="00446BE3">
              <w:rPr>
                <w:rFonts w:asciiTheme="minorHAnsi" w:eastAsiaTheme="minorHAnsi" w:hAnsiTheme="minorHAnsi" w:cstheme="minorBidi"/>
                <w:b/>
                <w:bCs/>
                <w:kern w:val="2"/>
                <w:lang w:eastAsia="en-US"/>
                <w14:ligatures w14:val="standardContextual"/>
              </w:rPr>
              <w:t>Izangaia</w:t>
            </w:r>
          </w:p>
        </w:tc>
        <w:tc>
          <w:tcPr>
            <w:tcW w:w="916" w:type="dxa"/>
            <w:tcBorders>
              <w:top w:val="single" w:sz="4" w:space="0" w:color="auto"/>
              <w:left w:val="nil"/>
              <w:bottom w:val="single" w:sz="4" w:space="0" w:color="auto"/>
              <w:right w:val="single" w:sz="4" w:space="0" w:color="auto"/>
            </w:tcBorders>
            <w:shd w:val="clear" w:color="000000" w:fill="C00000"/>
            <w:vAlign w:val="center"/>
            <w:hideMark/>
          </w:tcPr>
          <w:p w14:paraId="443189BF" w14:textId="2BE61722" w:rsidR="00446BE3" w:rsidRPr="00446BE3" w:rsidRDefault="00446BE3" w:rsidP="00446BE3">
            <w:pPr>
              <w:spacing w:after="160" w:line="259" w:lineRule="auto"/>
              <w:jc w:val="center"/>
              <w:rPr>
                <w:rFonts w:asciiTheme="minorHAnsi" w:eastAsiaTheme="minorHAnsi" w:hAnsiTheme="minorHAnsi" w:cstheme="minorBidi"/>
                <w:b/>
                <w:bCs/>
                <w:kern w:val="2"/>
                <w:lang w:eastAsia="en-US"/>
                <w14:ligatures w14:val="standardContextual"/>
              </w:rPr>
            </w:pPr>
            <w:r w:rsidRPr="00446BE3">
              <w:rPr>
                <w:rFonts w:asciiTheme="minorHAnsi" w:eastAsiaTheme="minorHAnsi" w:hAnsiTheme="minorHAnsi" w:cstheme="minorBidi"/>
                <w:b/>
                <w:bCs/>
                <w:kern w:val="2"/>
                <w:lang w:eastAsia="en-US"/>
                <w14:ligatures w14:val="standardContextual"/>
              </w:rPr>
              <w:t>Meritu profe</w:t>
            </w:r>
            <w:r>
              <w:rPr>
                <w:rFonts w:asciiTheme="minorHAnsi" w:eastAsiaTheme="minorHAnsi" w:hAnsiTheme="minorHAnsi" w:cstheme="minorBidi"/>
                <w:b/>
                <w:bCs/>
                <w:kern w:val="2"/>
                <w:lang w:eastAsia="en-US"/>
                <w14:ligatures w14:val="standardContextual"/>
              </w:rPr>
              <w:t>s</w:t>
            </w:r>
            <w:r w:rsidRPr="00446BE3">
              <w:rPr>
                <w:rFonts w:asciiTheme="minorHAnsi" w:eastAsiaTheme="minorHAnsi" w:hAnsiTheme="minorHAnsi" w:cstheme="minorBidi"/>
                <w:b/>
                <w:bCs/>
                <w:kern w:val="2"/>
                <w:lang w:eastAsia="en-US"/>
                <w14:ligatures w14:val="standardContextual"/>
              </w:rPr>
              <w:t>ionalak</w:t>
            </w:r>
          </w:p>
        </w:tc>
        <w:tc>
          <w:tcPr>
            <w:tcW w:w="1636" w:type="dxa"/>
            <w:tcBorders>
              <w:top w:val="single" w:sz="4" w:space="0" w:color="auto"/>
              <w:left w:val="nil"/>
              <w:bottom w:val="single" w:sz="4" w:space="0" w:color="auto"/>
              <w:right w:val="single" w:sz="4" w:space="0" w:color="auto"/>
            </w:tcBorders>
            <w:shd w:val="clear" w:color="000000" w:fill="C00000"/>
            <w:vAlign w:val="center"/>
            <w:hideMark/>
          </w:tcPr>
          <w:p w14:paraId="3B7E3190" w14:textId="47EAA367" w:rsidR="00446BE3" w:rsidRPr="00446BE3" w:rsidRDefault="00446BE3" w:rsidP="00446BE3">
            <w:pPr>
              <w:spacing w:after="160" w:line="259" w:lineRule="auto"/>
              <w:jc w:val="center"/>
              <w:rPr>
                <w:rFonts w:asciiTheme="minorHAnsi" w:eastAsiaTheme="minorHAnsi" w:hAnsiTheme="minorHAnsi" w:cstheme="minorBidi"/>
                <w:b/>
                <w:bCs/>
                <w:kern w:val="2"/>
                <w:lang w:eastAsia="en-US"/>
                <w14:ligatures w14:val="standardContextual"/>
              </w:rPr>
            </w:pPr>
            <w:r w:rsidRPr="00446BE3">
              <w:rPr>
                <w:rFonts w:asciiTheme="minorHAnsi" w:eastAsiaTheme="minorHAnsi" w:hAnsiTheme="minorHAnsi" w:cstheme="minorBidi"/>
                <w:b/>
                <w:bCs/>
                <w:kern w:val="2"/>
                <w:lang w:eastAsia="en-US"/>
                <w14:ligatures w14:val="standardContextual"/>
              </w:rPr>
              <w:t>Beste merituak</w:t>
            </w:r>
          </w:p>
        </w:tc>
        <w:tc>
          <w:tcPr>
            <w:tcW w:w="1480" w:type="dxa"/>
            <w:tcBorders>
              <w:top w:val="single" w:sz="4" w:space="0" w:color="auto"/>
              <w:left w:val="nil"/>
              <w:bottom w:val="single" w:sz="4" w:space="0" w:color="auto"/>
              <w:right w:val="single" w:sz="4" w:space="0" w:color="auto"/>
            </w:tcBorders>
            <w:shd w:val="clear" w:color="000000" w:fill="595959"/>
            <w:noWrap/>
            <w:vAlign w:val="center"/>
            <w:hideMark/>
          </w:tcPr>
          <w:p w14:paraId="73403E98" w14:textId="78DA99C1" w:rsidR="00446BE3" w:rsidRPr="00446BE3" w:rsidRDefault="00446BE3" w:rsidP="00446BE3">
            <w:pPr>
              <w:spacing w:after="160" w:line="259" w:lineRule="auto"/>
              <w:jc w:val="center"/>
              <w:rPr>
                <w:rFonts w:asciiTheme="minorHAnsi" w:eastAsiaTheme="minorHAnsi" w:hAnsiTheme="minorHAnsi" w:cstheme="minorBidi"/>
                <w:b/>
                <w:bCs/>
                <w:color w:val="FFFFFF" w:themeColor="background1"/>
                <w:kern w:val="2"/>
                <w:lang w:eastAsia="en-US"/>
                <w14:ligatures w14:val="standardContextual"/>
              </w:rPr>
            </w:pPr>
            <w:r w:rsidRPr="00446BE3">
              <w:rPr>
                <w:rFonts w:asciiTheme="minorHAnsi" w:eastAsiaTheme="minorHAnsi" w:hAnsiTheme="minorHAnsi" w:cstheme="minorBidi"/>
                <w:b/>
                <w:bCs/>
                <w:color w:val="FFFFFF" w:themeColor="background1"/>
                <w:kern w:val="2"/>
                <w:lang w:eastAsia="en-US"/>
                <w14:ligatures w14:val="standardContextual"/>
              </w:rPr>
              <w:t>GUZTIRA</w:t>
            </w:r>
          </w:p>
        </w:tc>
      </w:tr>
      <w:tr w:rsidR="00446BE3" w:rsidRPr="00446BE3" w14:paraId="36E04C5B" w14:textId="77777777" w:rsidTr="00446BE3">
        <w:trPr>
          <w:trHeight w:val="525"/>
        </w:trPr>
        <w:tc>
          <w:tcPr>
            <w:tcW w:w="2481" w:type="dxa"/>
            <w:tcBorders>
              <w:top w:val="nil"/>
              <w:left w:val="single" w:sz="4" w:space="0" w:color="auto"/>
              <w:bottom w:val="single" w:sz="4" w:space="0" w:color="auto"/>
              <w:right w:val="single" w:sz="4" w:space="0" w:color="auto"/>
            </w:tcBorders>
            <w:shd w:val="clear" w:color="auto" w:fill="auto"/>
            <w:noWrap/>
            <w:vAlign w:val="bottom"/>
            <w:hideMark/>
          </w:tcPr>
          <w:p w14:paraId="74AED076" w14:textId="77777777" w:rsidR="00446BE3" w:rsidRPr="00446BE3" w:rsidRDefault="00446BE3" w:rsidP="00446BE3">
            <w:pPr>
              <w:spacing w:after="160" w:line="259" w:lineRule="auto"/>
              <w:rPr>
                <w:rFonts w:asciiTheme="minorHAnsi" w:eastAsiaTheme="minorHAnsi" w:hAnsiTheme="minorHAnsi" w:cstheme="minorBidi"/>
                <w:b/>
                <w:bCs/>
                <w:kern w:val="2"/>
                <w:lang w:val="es-ES" w:eastAsia="en-US"/>
                <w14:ligatures w14:val="standardContextual"/>
              </w:rPr>
            </w:pPr>
            <w:r w:rsidRPr="00446BE3">
              <w:rPr>
                <w:rFonts w:asciiTheme="minorHAnsi" w:eastAsiaTheme="minorHAnsi" w:hAnsiTheme="minorHAnsi" w:cstheme="minorBidi"/>
                <w:b/>
                <w:bCs/>
                <w:kern w:val="2"/>
                <w:lang w:val="es-ES" w:eastAsia="en-US"/>
                <w14:ligatures w14:val="standardContextual"/>
              </w:rPr>
              <w:t>Itziar Areta Olleta</w:t>
            </w:r>
          </w:p>
        </w:tc>
        <w:tc>
          <w:tcPr>
            <w:tcW w:w="916" w:type="dxa"/>
            <w:tcBorders>
              <w:top w:val="nil"/>
              <w:left w:val="nil"/>
              <w:bottom w:val="single" w:sz="4" w:space="0" w:color="auto"/>
              <w:right w:val="single" w:sz="4" w:space="0" w:color="auto"/>
            </w:tcBorders>
            <w:shd w:val="clear" w:color="auto" w:fill="auto"/>
            <w:noWrap/>
            <w:vAlign w:val="bottom"/>
            <w:hideMark/>
          </w:tcPr>
          <w:p w14:paraId="718044B0" w14:textId="77777777" w:rsidR="00446BE3" w:rsidRPr="00446BE3" w:rsidRDefault="00446BE3" w:rsidP="00446BE3">
            <w:pPr>
              <w:spacing w:after="160" w:line="259" w:lineRule="auto"/>
              <w:ind w:left="708"/>
              <w:rPr>
                <w:rFonts w:asciiTheme="minorHAnsi" w:eastAsiaTheme="minorHAnsi" w:hAnsiTheme="minorHAnsi" w:cstheme="minorBidi"/>
                <w:kern w:val="2"/>
                <w:lang w:val="es-ES" w:eastAsia="en-US"/>
                <w14:ligatures w14:val="standardContextual"/>
              </w:rPr>
            </w:pPr>
            <w:r w:rsidRPr="00446BE3">
              <w:rPr>
                <w:rFonts w:asciiTheme="minorHAnsi" w:eastAsiaTheme="minorHAnsi" w:hAnsiTheme="minorHAnsi" w:cstheme="minorBidi"/>
                <w:kern w:val="2"/>
                <w:lang w:val="es-ES" w:eastAsia="en-US"/>
                <w14:ligatures w14:val="standardContextual"/>
              </w:rPr>
              <w:t>42,224</w:t>
            </w:r>
          </w:p>
        </w:tc>
        <w:tc>
          <w:tcPr>
            <w:tcW w:w="1636" w:type="dxa"/>
            <w:tcBorders>
              <w:top w:val="nil"/>
              <w:left w:val="nil"/>
              <w:bottom w:val="single" w:sz="4" w:space="0" w:color="auto"/>
              <w:right w:val="single" w:sz="4" w:space="0" w:color="auto"/>
            </w:tcBorders>
            <w:shd w:val="clear" w:color="auto" w:fill="auto"/>
            <w:noWrap/>
            <w:vAlign w:val="bottom"/>
            <w:hideMark/>
          </w:tcPr>
          <w:p w14:paraId="60D81496" w14:textId="77777777" w:rsidR="00446BE3" w:rsidRPr="00446BE3" w:rsidRDefault="00446BE3" w:rsidP="00446BE3">
            <w:pPr>
              <w:spacing w:after="160" w:line="259" w:lineRule="auto"/>
              <w:ind w:left="708"/>
              <w:rPr>
                <w:rFonts w:asciiTheme="minorHAnsi" w:eastAsiaTheme="minorHAnsi" w:hAnsiTheme="minorHAnsi" w:cstheme="minorBidi"/>
                <w:kern w:val="2"/>
                <w:lang w:val="es-ES" w:eastAsia="en-US"/>
                <w14:ligatures w14:val="standardContextual"/>
              </w:rPr>
            </w:pPr>
            <w:r w:rsidRPr="00446BE3">
              <w:rPr>
                <w:rFonts w:asciiTheme="minorHAnsi" w:eastAsiaTheme="minorHAnsi" w:hAnsiTheme="minorHAnsi" w:cstheme="minorBidi"/>
                <w:kern w:val="2"/>
                <w:lang w:val="es-ES" w:eastAsia="en-US"/>
                <w14:ligatures w14:val="standardContextual"/>
              </w:rPr>
              <w:t>0,00</w:t>
            </w:r>
          </w:p>
        </w:tc>
        <w:tc>
          <w:tcPr>
            <w:tcW w:w="1480" w:type="dxa"/>
            <w:tcBorders>
              <w:top w:val="nil"/>
              <w:left w:val="nil"/>
              <w:bottom w:val="single" w:sz="4" w:space="0" w:color="auto"/>
              <w:right w:val="single" w:sz="4" w:space="0" w:color="auto"/>
            </w:tcBorders>
            <w:shd w:val="clear" w:color="auto" w:fill="auto"/>
            <w:noWrap/>
            <w:vAlign w:val="bottom"/>
            <w:hideMark/>
          </w:tcPr>
          <w:p w14:paraId="5C9ABA0C" w14:textId="77777777" w:rsidR="00446BE3" w:rsidRPr="00446BE3" w:rsidRDefault="00446BE3" w:rsidP="00446BE3">
            <w:pPr>
              <w:spacing w:after="160" w:line="259" w:lineRule="auto"/>
              <w:ind w:left="708"/>
              <w:rPr>
                <w:rFonts w:asciiTheme="minorHAnsi" w:eastAsiaTheme="minorHAnsi" w:hAnsiTheme="minorHAnsi" w:cstheme="minorBidi"/>
                <w:b/>
                <w:bCs/>
                <w:kern w:val="2"/>
                <w:lang w:val="es-ES" w:eastAsia="en-US"/>
                <w14:ligatures w14:val="standardContextual"/>
              </w:rPr>
            </w:pPr>
            <w:r w:rsidRPr="00446BE3">
              <w:rPr>
                <w:rFonts w:asciiTheme="minorHAnsi" w:eastAsiaTheme="minorHAnsi" w:hAnsiTheme="minorHAnsi" w:cstheme="minorBidi"/>
                <w:b/>
                <w:bCs/>
                <w:kern w:val="2"/>
                <w:lang w:val="es-ES" w:eastAsia="en-US"/>
                <w14:ligatures w14:val="standardContextual"/>
              </w:rPr>
              <w:t>42,224</w:t>
            </w:r>
          </w:p>
        </w:tc>
      </w:tr>
    </w:tbl>
    <w:p w14:paraId="2DE72DB7" w14:textId="77777777" w:rsidR="00446BE3" w:rsidRDefault="00446BE3" w:rsidP="00446BE3">
      <w:pPr>
        <w:spacing w:after="160" w:line="259" w:lineRule="auto"/>
        <w:ind w:left="708"/>
        <w:rPr>
          <w:rFonts w:asciiTheme="minorHAnsi" w:eastAsiaTheme="minorHAnsi" w:hAnsiTheme="minorHAnsi" w:cstheme="minorBidi"/>
          <w:kern w:val="2"/>
          <w:lang w:eastAsia="en-US"/>
          <w14:ligatures w14:val="standardContextual"/>
        </w:rPr>
      </w:pPr>
    </w:p>
    <w:p w14:paraId="31E696E5" w14:textId="0CB7E3FB" w:rsidR="00446BE3" w:rsidRDefault="00446BE3" w:rsidP="00446BE3">
      <w:pPr>
        <w:numPr>
          <w:ilvl w:val="0"/>
          <w:numId w:val="5"/>
        </w:numPr>
        <w:spacing w:after="160" w:line="259" w:lineRule="auto"/>
        <w:rPr>
          <w:rFonts w:eastAsia="Calibri" w:cs="Arial"/>
          <w:kern w:val="2"/>
          <w:lang w:eastAsia="en-US"/>
        </w:rPr>
      </w:pPr>
      <w:r w:rsidRPr="00446BE3">
        <w:rPr>
          <w:rFonts w:eastAsia="Calibri" w:cs="Arial"/>
          <w:kern w:val="2"/>
          <w:lang w:eastAsia="en-US"/>
        </w:rPr>
        <w:lastRenderedPageBreak/>
        <w:t>Meritu profesionalak. Deialdiaren oinarrietan ezarritakoaren arabera, merezimenduen balorazioan Nafarroako Aldizkari Ofizialean argitaratu arte lortutakoak bakarrik hartu dira kontuan.</w:t>
      </w:r>
    </w:p>
    <w:p w14:paraId="007FE0B3" w14:textId="72FC1827" w:rsidR="00446BE3" w:rsidRDefault="00446BE3" w:rsidP="00446BE3">
      <w:pPr>
        <w:numPr>
          <w:ilvl w:val="0"/>
          <w:numId w:val="5"/>
        </w:numPr>
        <w:spacing w:after="160" w:line="259" w:lineRule="auto"/>
        <w:rPr>
          <w:rFonts w:eastAsia="Calibri" w:cs="Arial"/>
          <w:kern w:val="2"/>
          <w:lang w:eastAsia="en-US"/>
        </w:rPr>
      </w:pPr>
      <w:r w:rsidRPr="00446BE3">
        <w:rPr>
          <w:rFonts w:eastAsia="Calibri" w:cs="Arial"/>
          <w:kern w:val="2"/>
          <w:lang w:eastAsia="en-US"/>
        </w:rPr>
        <w:t>Beste merezimendu batzuk:</w:t>
      </w:r>
      <w:r w:rsidRPr="00446BE3">
        <w:rPr>
          <w:rFonts w:eastAsia="Calibri" w:cs="Arial"/>
          <w:kern w:val="2"/>
          <w:lang w:eastAsia="en-US"/>
        </w:rPr>
        <w:t xml:space="preserve"> </w:t>
      </w:r>
      <w:r w:rsidRPr="00446BE3">
        <w:rPr>
          <w:rFonts w:eastAsia="Calibri" w:cs="Arial"/>
          <w:kern w:val="2"/>
          <w:lang w:eastAsia="en-US"/>
        </w:rPr>
        <w:t>Euskararen ezagutza. Deitutako plaza derrigorrezkotzat jo denez, ez da bidezkoa meritu profesional gisa baloratzea.</w:t>
      </w:r>
    </w:p>
    <w:p w14:paraId="7D4FD970" w14:textId="77777777" w:rsidR="00446BE3" w:rsidRPr="00446BE3" w:rsidRDefault="00446BE3" w:rsidP="00446BE3">
      <w:pPr>
        <w:spacing w:after="160" w:line="259" w:lineRule="auto"/>
        <w:ind w:left="708"/>
        <w:rPr>
          <w:rFonts w:eastAsia="Calibri" w:cs="Arial"/>
          <w:kern w:val="2"/>
          <w:lang w:eastAsia="en-US"/>
        </w:rPr>
      </w:pPr>
      <w:r w:rsidRPr="00446BE3">
        <w:rPr>
          <w:rFonts w:eastAsia="Calibri" w:cs="Arial"/>
          <w:kern w:val="2"/>
          <w:lang w:eastAsia="en-US"/>
        </w:rPr>
        <w:t>Deialdiaren oinarrietan ezarritakoaren arabera, izangaiek bost egun balioduneko epea izango dute merezimenduen behin-behineko balorazio horri alegazioak aurkezteko.</w:t>
      </w:r>
    </w:p>
    <w:p w14:paraId="7B5589A8" w14:textId="77777777" w:rsidR="00446BE3" w:rsidRPr="00446BE3" w:rsidRDefault="00446BE3" w:rsidP="00446BE3">
      <w:pPr>
        <w:spacing w:after="160" w:line="259" w:lineRule="auto"/>
        <w:ind w:left="708"/>
        <w:rPr>
          <w:rFonts w:eastAsia="Calibri" w:cs="Arial"/>
          <w:kern w:val="2"/>
          <w:lang w:eastAsia="en-US"/>
        </w:rPr>
      </w:pPr>
    </w:p>
    <w:p w14:paraId="0AB70D19" w14:textId="79E5A7E3" w:rsidR="000915C1" w:rsidRDefault="00446BE3" w:rsidP="00446BE3">
      <w:pPr>
        <w:spacing w:after="160" w:line="259" w:lineRule="auto"/>
        <w:ind w:left="708"/>
        <w:rPr>
          <w:rFonts w:eastAsia="Calibri" w:cs="Arial"/>
          <w:kern w:val="2"/>
          <w:lang w:eastAsia="en-US"/>
        </w:rPr>
      </w:pPr>
      <w:r w:rsidRPr="00446BE3">
        <w:rPr>
          <w:rFonts w:eastAsia="Calibri" w:cs="Arial"/>
          <w:kern w:val="2"/>
          <w:lang w:eastAsia="en-US"/>
        </w:rPr>
        <w:t>Uharten, sinadura elektronikoaren datan.</w:t>
      </w:r>
    </w:p>
    <w:p w14:paraId="78A3C7F7" w14:textId="77777777" w:rsidR="000915C1" w:rsidRPr="000915C1" w:rsidRDefault="000915C1" w:rsidP="000915C1">
      <w:pPr>
        <w:spacing w:after="160" w:line="259" w:lineRule="auto"/>
        <w:ind w:left="708"/>
        <w:rPr>
          <w:rFonts w:eastAsia="Calibri" w:cs="Arial"/>
          <w:b/>
          <w:bCs/>
          <w:kern w:val="2"/>
          <w:lang w:val="es-ES" w:eastAsia="en-US"/>
        </w:rPr>
      </w:pPr>
      <w:r>
        <w:rPr>
          <w:rFonts w:eastAsia="Calibri" w:cs="Arial"/>
          <w:kern w:val="2"/>
          <w:lang w:eastAsia="en-US"/>
        </w:rPr>
        <w:br w:type="page"/>
      </w:r>
      <w:r w:rsidRPr="000915C1">
        <w:rPr>
          <w:rFonts w:eastAsia="Calibri" w:cs="Arial"/>
          <w:b/>
          <w:bCs/>
          <w:kern w:val="2"/>
          <w:lang w:val="es-ES" w:eastAsia="en-US"/>
        </w:rPr>
        <w:lastRenderedPageBreak/>
        <w:t xml:space="preserve">Convocatoria para la provisión, mediante el sistema excepcional de concurso de méritos, en el marco de los procesos de estabilización para la reducción de la temporalidad en el empleo público, de una plaza de técnico de juventud. </w:t>
      </w:r>
    </w:p>
    <w:p w14:paraId="3E3B5454" w14:textId="77777777" w:rsidR="000915C1" w:rsidRPr="000915C1" w:rsidRDefault="000915C1" w:rsidP="000915C1">
      <w:pPr>
        <w:spacing w:after="160" w:line="259" w:lineRule="auto"/>
        <w:ind w:left="708"/>
        <w:rPr>
          <w:rFonts w:eastAsia="Calibri" w:cs="Arial"/>
          <w:kern w:val="2"/>
          <w:lang w:val="es-ES" w:eastAsia="en-US"/>
        </w:rPr>
      </w:pPr>
      <w:bookmarkStart w:id="0" w:name="_Hlk159925771"/>
      <w:r w:rsidRPr="000915C1">
        <w:rPr>
          <w:rFonts w:eastAsia="Calibri" w:cs="Arial"/>
          <w:kern w:val="2"/>
          <w:lang w:val="es-ES" w:eastAsia="en-US"/>
        </w:rPr>
        <w:t>-------------------------------------------------------------------------------------------------------------------</w:t>
      </w:r>
    </w:p>
    <w:p w14:paraId="051EEF43" w14:textId="77777777" w:rsidR="000915C1" w:rsidRPr="000915C1" w:rsidRDefault="000915C1" w:rsidP="000915C1">
      <w:pPr>
        <w:spacing w:after="160" w:line="259" w:lineRule="auto"/>
        <w:ind w:left="708"/>
        <w:rPr>
          <w:rFonts w:eastAsia="Calibri" w:cs="Arial"/>
          <w:i/>
          <w:iCs/>
          <w:kern w:val="2"/>
          <w:lang w:val="es-ES" w:eastAsia="en-US"/>
        </w:rPr>
      </w:pPr>
      <w:r w:rsidRPr="000915C1">
        <w:rPr>
          <w:rFonts w:eastAsia="Calibri" w:cs="Arial"/>
          <w:i/>
          <w:iCs/>
          <w:kern w:val="2"/>
          <w:lang w:val="es-ES" w:eastAsia="en-US"/>
        </w:rPr>
        <w:t>Acta de constitución del tribunal,</w:t>
      </w:r>
    </w:p>
    <w:p w14:paraId="0ECDA187" w14:textId="77777777" w:rsidR="000915C1" w:rsidRP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Huarte, a 20 de febrero de 2024</w:t>
      </w:r>
    </w:p>
    <w:p w14:paraId="01BA76C3" w14:textId="77777777" w:rsidR="000915C1" w:rsidRP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Reunidos:</w:t>
      </w:r>
    </w:p>
    <w:p w14:paraId="696ACB96" w14:textId="77777777" w:rsidR="000915C1" w:rsidRPr="000915C1" w:rsidRDefault="000915C1" w:rsidP="000915C1">
      <w:pPr>
        <w:numPr>
          <w:ilvl w:val="0"/>
          <w:numId w:val="6"/>
        </w:numPr>
        <w:spacing w:after="160" w:line="259" w:lineRule="auto"/>
        <w:rPr>
          <w:rFonts w:eastAsia="Calibri" w:cs="Arial"/>
          <w:kern w:val="2"/>
          <w:lang w:val="es-ES" w:eastAsia="en-US"/>
        </w:rPr>
      </w:pPr>
      <w:r w:rsidRPr="000915C1">
        <w:rPr>
          <w:rFonts w:eastAsia="Calibri" w:cs="Arial"/>
          <w:kern w:val="2"/>
          <w:lang w:val="es-ES" w:eastAsia="en-US"/>
        </w:rPr>
        <w:t xml:space="preserve">Alfredo Arruiz Sotés, </w:t>
      </w:r>
      <w:proofErr w:type="gramStart"/>
      <w:r w:rsidRPr="000915C1">
        <w:rPr>
          <w:rFonts w:eastAsia="Calibri" w:cs="Arial"/>
          <w:kern w:val="2"/>
          <w:lang w:val="es-ES" w:eastAsia="en-US"/>
        </w:rPr>
        <w:t>Alcalde</w:t>
      </w:r>
      <w:proofErr w:type="gramEnd"/>
      <w:r w:rsidRPr="000915C1">
        <w:rPr>
          <w:rFonts w:eastAsia="Calibri" w:cs="Arial"/>
          <w:kern w:val="2"/>
          <w:lang w:val="es-ES" w:eastAsia="en-US"/>
        </w:rPr>
        <w:t xml:space="preserve"> del Ayuntamiento de Huarte, en calidad de presidente del tribunal.</w:t>
      </w:r>
    </w:p>
    <w:p w14:paraId="411134E7" w14:textId="77777777" w:rsidR="000915C1" w:rsidRPr="000915C1" w:rsidRDefault="000915C1" w:rsidP="000915C1">
      <w:pPr>
        <w:numPr>
          <w:ilvl w:val="0"/>
          <w:numId w:val="6"/>
        </w:numPr>
        <w:spacing w:after="160" w:line="259" w:lineRule="auto"/>
        <w:rPr>
          <w:rFonts w:eastAsia="Calibri" w:cs="Arial"/>
          <w:kern w:val="2"/>
          <w:lang w:val="es-ES" w:eastAsia="en-US"/>
        </w:rPr>
      </w:pPr>
      <w:r w:rsidRPr="000915C1">
        <w:rPr>
          <w:rFonts w:eastAsia="Calibri" w:cs="Arial"/>
          <w:kern w:val="2"/>
          <w:lang w:val="es-ES" w:eastAsia="en-US"/>
        </w:rPr>
        <w:t>Eduardo Carrasco Benítez, a propuesta de la representación sindical, en calidad de vocal.</w:t>
      </w:r>
    </w:p>
    <w:p w14:paraId="4C27529E" w14:textId="77777777" w:rsidR="000915C1" w:rsidRPr="000915C1" w:rsidRDefault="000915C1" w:rsidP="000915C1">
      <w:pPr>
        <w:numPr>
          <w:ilvl w:val="0"/>
          <w:numId w:val="6"/>
        </w:numPr>
        <w:spacing w:after="160" w:line="259" w:lineRule="auto"/>
        <w:rPr>
          <w:rFonts w:eastAsia="Calibri" w:cs="Arial"/>
          <w:kern w:val="2"/>
          <w:lang w:val="es-ES" w:eastAsia="en-US"/>
        </w:rPr>
      </w:pPr>
      <w:r w:rsidRPr="000915C1">
        <w:rPr>
          <w:rFonts w:eastAsia="Calibri" w:cs="Arial"/>
          <w:kern w:val="2"/>
          <w:lang w:val="es-ES" w:eastAsia="en-US"/>
        </w:rPr>
        <w:t xml:space="preserve">Gustavo Jiménez Martín, gestor de </w:t>
      </w:r>
      <w:proofErr w:type="spellStart"/>
      <w:r w:rsidRPr="000915C1">
        <w:rPr>
          <w:rFonts w:eastAsia="Calibri" w:cs="Arial"/>
          <w:kern w:val="2"/>
          <w:lang w:val="es-ES" w:eastAsia="en-US"/>
        </w:rPr>
        <w:t>RRHH</w:t>
      </w:r>
      <w:proofErr w:type="spellEnd"/>
      <w:r w:rsidRPr="000915C1">
        <w:rPr>
          <w:rFonts w:eastAsia="Calibri" w:cs="Arial"/>
          <w:kern w:val="2"/>
          <w:lang w:val="es-ES" w:eastAsia="en-US"/>
        </w:rPr>
        <w:t xml:space="preserve"> del Ayuntamiento, en calidad de secretario del tribunal.</w:t>
      </w:r>
    </w:p>
    <w:bookmarkEnd w:id="0"/>
    <w:p w14:paraId="1B9942EE" w14:textId="77777777" w:rsidR="000915C1" w:rsidRPr="000915C1" w:rsidRDefault="000915C1" w:rsidP="000915C1">
      <w:pPr>
        <w:spacing w:after="160" w:line="259" w:lineRule="auto"/>
        <w:ind w:left="708"/>
        <w:rPr>
          <w:rFonts w:eastAsia="Calibri" w:cs="Arial"/>
          <w:kern w:val="2"/>
          <w:lang w:val="es-ES" w:eastAsia="en-US"/>
        </w:rPr>
      </w:pPr>
    </w:p>
    <w:p w14:paraId="61A95B88" w14:textId="77777777" w:rsidR="000915C1" w:rsidRP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1. Se constituye el Tribunal para la resolución de la convocatoria para la provisión, mediante el sistema excepcional de concurso de méritos, en el marco de los procesos de estabilización para la reducción de la temporalidad en el empleo público, de una plaza de TÉCNICA/O DE JUVENTUD, de conformidad con lo establecido en la base 5 de la convocatoria, publicada en el Boletín Oficial de Navarra número 253, de 19 de diciembre de 2022.</w:t>
      </w:r>
    </w:p>
    <w:p w14:paraId="39295DA7" w14:textId="77777777" w:rsidR="000915C1" w:rsidRPr="000915C1" w:rsidRDefault="000915C1" w:rsidP="000915C1">
      <w:pPr>
        <w:spacing w:after="160" w:line="259" w:lineRule="auto"/>
        <w:ind w:left="708"/>
        <w:rPr>
          <w:rFonts w:eastAsia="Calibri" w:cs="Arial"/>
          <w:kern w:val="2"/>
          <w:lang w:val="es-ES" w:eastAsia="en-US"/>
        </w:rPr>
      </w:pPr>
    </w:p>
    <w:p w14:paraId="02FAA311" w14:textId="77777777" w:rsidR="000915C1" w:rsidRP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2. Se informa del estado del expediente de la convocatoria.</w:t>
      </w:r>
    </w:p>
    <w:p w14:paraId="644E7D05" w14:textId="77777777" w:rsidR="000915C1" w:rsidRPr="000915C1" w:rsidRDefault="000915C1" w:rsidP="000915C1">
      <w:pPr>
        <w:numPr>
          <w:ilvl w:val="0"/>
          <w:numId w:val="6"/>
        </w:numPr>
        <w:spacing w:after="160" w:line="259" w:lineRule="auto"/>
        <w:rPr>
          <w:rFonts w:eastAsia="Calibri" w:cs="Arial"/>
          <w:kern w:val="2"/>
          <w:lang w:val="es-ES" w:eastAsia="en-US"/>
        </w:rPr>
      </w:pPr>
      <w:r w:rsidRPr="000915C1">
        <w:rPr>
          <w:rFonts w:eastAsia="Calibri" w:cs="Arial"/>
          <w:kern w:val="2"/>
          <w:lang w:val="es-ES" w:eastAsia="en-US"/>
        </w:rPr>
        <w:t>Mediante resolución de Alcaldía número 2024-0071 se aprobaron las listas provisionales de personas aspirantes admitidas y excluidas a la convocatoria</w:t>
      </w:r>
    </w:p>
    <w:p w14:paraId="321F0B5A" w14:textId="77777777" w:rsidR="000915C1" w:rsidRPr="000915C1" w:rsidRDefault="000915C1" w:rsidP="000915C1">
      <w:pPr>
        <w:numPr>
          <w:ilvl w:val="0"/>
          <w:numId w:val="6"/>
        </w:numPr>
        <w:spacing w:after="160" w:line="259" w:lineRule="auto"/>
        <w:rPr>
          <w:rFonts w:eastAsia="Calibri" w:cs="Arial"/>
          <w:kern w:val="2"/>
          <w:lang w:val="es-ES" w:eastAsia="en-US"/>
        </w:rPr>
      </w:pPr>
      <w:r w:rsidRPr="000915C1">
        <w:rPr>
          <w:rFonts w:eastAsia="Calibri" w:cs="Arial"/>
          <w:kern w:val="2"/>
          <w:lang w:val="es-ES" w:eastAsia="en-US"/>
        </w:rPr>
        <w:t>Mediante resolución de Alcaldía número 2024-0074, se nombraron los miembros del tribunal de la convocatoria</w:t>
      </w:r>
    </w:p>
    <w:p w14:paraId="6C0340B4" w14:textId="77777777" w:rsidR="000915C1" w:rsidRPr="000915C1" w:rsidRDefault="000915C1" w:rsidP="000915C1">
      <w:pPr>
        <w:numPr>
          <w:ilvl w:val="0"/>
          <w:numId w:val="6"/>
        </w:numPr>
        <w:spacing w:after="160" w:line="259" w:lineRule="auto"/>
        <w:rPr>
          <w:rFonts w:eastAsia="Calibri" w:cs="Arial"/>
          <w:kern w:val="2"/>
          <w:lang w:val="es-ES" w:eastAsia="en-US"/>
        </w:rPr>
      </w:pPr>
      <w:r w:rsidRPr="000915C1">
        <w:rPr>
          <w:rFonts w:eastAsia="Calibri" w:cs="Arial"/>
          <w:kern w:val="2"/>
          <w:lang w:val="es-ES" w:eastAsia="en-US"/>
        </w:rPr>
        <w:t>Mediante resolución de Alcaldía número 2024-0188, se aprobaron las listas definitivas de personas aspirantes admitidas y excluidas a la convocatoria</w:t>
      </w:r>
    </w:p>
    <w:p w14:paraId="4A7B647B" w14:textId="0F683AB2" w:rsid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Los acuerdos antedichos han sido publicados en la reseña correspondiente de la página web de la convocatoria.</w:t>
      </w:r>
    </w:p>
    <w:p w14:paraId="24B764B0" w14:textId="77777777" w:rsidR="000915C1" w:rsidRPr="000915C1" w:rsidRDefault="000915C1" w:rsidP="000915C1">
      <w:pPr>
        <w:spacing w:after="160" w:line="259" w:lineRule="auto"/>
        <w:ind w:left="708"/>
        <w:rPr>
          <w:rFonts w:eastAsia="Calibri" w:cs="Arial"/>
          <w:kern w:val="2"/>
          <w:lang w:val="es-ES" w:eastAsia="en-US"/>
        </w:rPr>
      </w:pPr>
    </w:p>
    <w:p w14:paraId="7ACAA330" w14:textId="5661DE52" w:rsid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3.</w:t>
      </w:r>
      <w:r>
        <w:rPr>
          <w:rFonts w:eastAsia="Calibri" w:cs="Arial"/>
          <w:kern w:val="2"/>
          <w:lang w:val="es-ES" w:eastAsia="en-US"/>
        </w:rPr>
        <w:t xml:space="preserve"> </w:t>
      </w:r>
      <w:r w:rsidRPr="000915C1">
        <w:rPr>
          <w:rFonts w:eastAsia="Calibri" w:cs="Arial"/>
          <w:kern w:val="2"/>
          <w:lang w:val="es-ES" w:eastAsia="en-US"/>
        </w:rPr>
        <w:t xml:space="preserve">Se aprueba y ordena la publicación en la página web de la siguiente </w:t>
      </w:r>
      <w:r w:rsidRPr="000915C1">
        <w:rPr>
          <w:rFonts w:eastAsia="Calibri" w:cs="Arial"/>
          <w:b/>
          <w:bCs/>
          <w:kern w:val="2"/>
          <w:lang w:val="es-ES" w:eastAsia="en-US"/>
        </w:rPr>
        <w:t>valoración provisional de los méritos alegados</w:t>
      </w:r>
      <w:r w:rsidRPr="000915C1">
        <w:rPr>
          <w:rFonts w:eastAsia="Calibri" w:cs="Arial"/>
          <w:kern w:val="2"/>
          <w:lang w:val="es-ES" w:eastAsia="en-US"/>
        </w:rPr>
        <w:t xml:space="preserve"> por las personas aspirantes:</w:t>
      </w:r>
    </w:p>
    <w:p w14:paraId="1DD7924E" w14:textId="77777777" w:rsidR="000915C1" w:rsidRPr="000915C1" w:rsidRDefault="000915C1" w:rsidP="000915C1">
      <w:pPr>
        <w:spacing w:after="160" w:line="259" w:lineRule="auto"/>
        <w:ind w:left="708"/>
        <w:rPr>
          <w:rFonts w:eastAsia="Calibri" w:cs="Arial"/>
          <w:kern w:val="2"/>
          <w:lang w:val="es-ES" w:eastAsia="en-US"/>
        </w:rPr>
      </w:pPr>
    </w:p>
    <w:tbl>
      <w:tblPr>
        <w:tblW w:w="7030" w:type="dxa"/>
        <w:tblInd w:w="708" w:type="dxa"/>
        <w:tblCellMar>
          <w:left w:w="70" w:type="dxa"/>
          <w:right w:w="70" w:type="dxa"/>
        </w:tblCellMar>
        <w:tblLook w:val="04A0" w:firstRow="1" w:lastRow="0" w:firstColumn="1" w:lastColumn="0" w:noHBand="0" w:noVBand="1"/>
      </w:tblPr>
      <w:tblGrid>
        <w:gridCol w:w="2481"/>
        <w:gridCol w:w="1461"/>
        <w:gridCol w:w="1636"/>
        <w:gridCol w:w="1480"/>
      </w:tblGrid>
      <w:tr w:rsidR="000915C1" w:rsidRPr="000915C1" w14:paraId="6DCED802" w14:textId="77777777" w:rsidTr="000915C1">
        <w:trPr>
          <w:trHeight w:val="675"/>
        </w:trPr>
        <w:tc>
          <w:tcPr>
            <w:tcW w:w="2481" w:type="dxa"/>
            <w:tcBorders>
              <w:top w:val="single" w:sz="4" w:space="0" w:color="auto"/>
              <w:left w:val="single" w:sz="4" w:space="0" w:color="auto"/>
              <w:bottom w:val="single" w:sz="4" w:space="0" w:color="auto"/>
              <w:right w:val="single" w:sz="4" w:space="0" w:color="auto"/>
            </w:tcBorders>
            <w:shd w:val="clear" w:color="000000" w:fill="C00000"/>
            <w:noWrap/>
            <w:vAlign w:val="center"/>
            <w:hideMark/>
          </w:tcPr>
          <w:p w14:paraId="4AE366D7" w14:textId="77777777" w:rsidR="000915C1" w:rsidRPr="000915C1" w:rsidRDefault="000915C1" w:rsidP="000915C1">
            <w:pPr>
              <w:spacing w:after="160" w:line="259" w:lineRule="auto"/>
              <w:jc w:val="center"/>
              <w:rPr>
                <w:rFonts w:eastAsia="Calibri" w:cs="Arial"/>
                <w:b/>
                <w:bCs/>
                <w:kern w:val="2"/>
                <w:lang w:val="es-ES" w:eastAsia="en-US"/>
              </w:rPr>
            </w:pPr>
            <w:bookmarkStart w:id="1" w:name="_Hlk159926395"/>
            <w:r w:rsidRPr="000915C1">
              <w:rPr>
                <w:rFonts w:eastAsia="Calibri" w:cs="Arial"/>
                <w:b/>
                <w:bCs/>
                <w:kern w:val="2"/>
                <w:lang w:val="es-ES" w:eastAsia="en-US"/>
              </w:rPr>
              <w:lastRenderedPageBreak/>
              <w:t>Aspirante</w:t>
            </w:r>
          </w:p>
        </w:tc>
        <w:tc>
          <w:tcPr>
            <w:tcW w:w="1433" w:type="dxa"/>
            <w:tcBorders>
              <w:top w:val="single" w:sz="4" w:space="0" w:color="auto"/>
              <w:left w:val="nil"/>
              <w:bottom w:val="single" w:sz="4" w:space="0" w:color="auto"/>
              <w:right w:val="single" w:sz="4" w:space="0" w:color="auto"/>
            </w:tcBorders>
            <w:shd w:val="clear" w:color="000000" w:fill="C00000"/>
            <w:vAlign w:val="center"/>
            <w:hideMark/>
          </w:tcPr>
          <w:p w14:paraId="10ED306F" w14:textId="77777777" w:rsidR="000915C1" w:rsidRPr="000915C1" w:rsidRDefault="000915C1" w:rsidP="000915C1">
            <w:pPr>
              <w:spacing w:after="160" w:line="259" w:lineRule="auto"/>
              <w:jc w:val="center"/>
              <w:rPr>
                <w:rFonts w:eastAsia="Calibri" w:cs="Arial"/>
                <w:b/>
                <w:bCs/>
                <w:kern w:val="2"/>
                <w:lang w:val="es-ES" w:eastAsia="en-US"/>
              </w:rPr>
            </w:pPr>
            <w:r w:rsidRPr="000915C1">
              <w:rPr>
                <w:rFonts w:eastAsia="Calibri" w:cs="Arial"/>
                <w:b/>
                <w:bCs/>
                <w:kern w:val="2"/>
                <w:lang w:val="es-ES" w:eastAsia="en-US"/>
              </w:rPr>
              <w:t>Méritos profesionales</w:t>
            </w:r>
          </w:p>
        </w:tc>
        <w:tc>
          <w:tcPr>
            <w:tcW w:w="1636" w:type="dxa"/>
            <w:tcBorders>
              <w:top w:val="single" w:sz="4" w:space="0" w:color="auto"/>
              <w:left w:val="nil"/>
              <w:bottom w:val="single" w:sz="4" w:space="0" w:color="auto"/>
              <w:right w:val="single" w:sz="4" w:space="0" w:color="auto"/>
            </w:tcBorders>
            <w:shd w:val="clear" w:color="000000" w:fill="C00000"/>
            <w:vAlign w:val="center"/>
            <w:hideMark/>
          </w:tcPr>
          <w:p w14:paraId="7667BC22" w14:textId="77777777" w:rsidR="000915C1" w:rsidRPr="000915C1" w:rsidRDefault="000915C1" w:rsidP="000915C1">
            <w:pPr>
              <w:spacing w:after="160" w:line="259" w:lineRule="auto"/>
              <w:jc w:val="center"/>
              <w:rPr>
                <w:rFonts w:eastAsia="Calibri" w:cs="Arial"/>
                <w:b/>
                <w:bCs/>
                <w:kern w:val="2"/>
                <w:lang w:val="es-ES" w:eastAsia="en-US"/>
              </w:rPr>
            </w:pPr>
            <w:r w:rsidRPr="000915C1">
              <w:rPr>
                <w:rFonts w:eastAsia="Calibri" w:cs="Arial"/>
                <w:b/>
                <w:bCs/>
                <w:kern w:val="2"/>
                <w:lang w:val="es-ES" w:eastAsia="en-US"/>
              </w:rPr>
              <w:t>Otros méritos</w:t>
            </w:r>
          </w:p>
        </w:tc>
        <w:tc>
          <w:tcPr>
            <w:tcW w:w="1480" w:type="dxa"/>
            <w:tcBorders>
              <w:top w:val="single" w:sz="4" w:space="0" w:color="auto"/>
              <w:left w:val="nil"/>
              <w:bottom w:val="single" w:sz="4" w:space="0" w:color="auto"/>
              <w:right w:val="single" w:sz="4" w:space="0" w:color="auto"/>
            </w:tcBorders>
            <w:shd w:val="clear" w:color="000000" w:fill="595959"/>
            <w:noWrap/>
            <w:vAlign w:val="center"/>
            <w:hideMark/>
          </w:tcPr>
          <w:p w14:paraId="04A94BD5" w14:textId="77777777" w:rsidR="000915C1" w:rsidRPr="000915C1" w:rsidRDefault="000915C1" w:rsidP="000915C1">
            <w:pPr>
              <w:spacing w:after="160" w:line="259" w:lineRule="auto"/>
              <w:jc w:val="center"/>
              <w:rPr>
                <w:rFonts w:eastAsia="Calibri" w:cs="Arial"/>
                <w:b/>
                <w:bCs/>
                <w:color w:val="FFFFFF" w:themeColor="background1"/>
                <w:kern w:val="2"/>
                <w:lang w:val="es-ES" w:eastAsia="en-US"/>
              </w:rPr>
            </w:pPr>
            <w:r w:rsidRPr="000915C1">
              <w:rPr>
                <w:rFonts w:eastAsia="Calibri" w:cs="Arial"/>
                <w:b/>
                <w:bCs/>
                <w:color w:val="FFFFFF" w:themeColor="background1"/>
                <w:kern w:val="2"/>
                <w:lang w:val="es-ES" w:eastAsia="en-US"/>
              </w:rPr>
              <w:t>TOTAL</w:t>
            </w:r>
          </w:p>
        </w:tc>
      </w:tr>
      <w:tr w:rsidR="000915C1" w:rsidRPr="000915C1" w14:paraId="478389CA" w14:textId="77777777" w:rsidTr="000915C1">
        <w:trPr>
          <w:trHeight w:val="525"/>
        </w:trPr>
        <w:tc>
          <w:tcPr>
            <w:tcW w:w="2481" w:type="dxa"/>
            <w:tcBorders>
              <w:top w:val="nil"/>
              <w:left w:val="single" w:sz="4" w:space="0" w:color="auto"/>
              <w:bottom w:val="single" w:sz="4" w:space="0" w:color="auto"/>
              <w:right w:val="single" w:sz="4" w:space="0" w:color="auto"/>
            </w:tcBorders>
            <w:shd w:val="clear" w:color="auto" w:fill="auto"/>
            <w:noWrap/>
            <w:vAlign w:val="bottom"/>
            <w:hideMark/>
          </w:tcPr>
          <w:p w14:paraId="3341B652" w14:textId="77777777" w:rsidR="000915C1" w:rsidRPr="000915C1" w:rsidRDefault="000915C1" w:rsidP="000915C1">
            <w:pPr>
              <w:spacing w:after="160" w:line="259" w:lineRule="auto"/>
              <w:rPr>
                <w:rFonts w:eastAsia="Calibri" w:cs="Arial"/>
                <w:b/>
                <w:bCs/>
                <w:kern w:val="2"/>
                <w:lang w:val="es-ES" w:eastAsia="en-US"/>
              </w:rPr>
            </w:pPr>
            <w:r w:rsidRPr="000915C1">
              <w:rPr>
                <w:rFonts w:eastAsia="Calibri" w:cs="Arial"/>
                <w:b/>
                <w:bCs/>
                <w:kern w:val="2"/>
                <w:lang w:val="es-ES" w:eastAsia="en-US"/>
              </w:rPr>
              <w:t>Itziar Areta Olleta</w:t>
            </w:r>
          </w:p>
        </w:tc>
        <w:tc>
          <w:tcPr>
            <w:tcW w:w="1433" w:type="dxa"/>
            <w:tcBorders>
              <w:top w:val="nil"/>
              <w:left w:val="nil"/>
              <w:bottom w:val="single" w:sz="4" w:space="0" w:color="auto"/>
              <w:right w:val="single" w:sz="4" w:space="0" w:color="auto"/>
            </w:tcBorders>
            <w:shd w:val="clear" w:color="auto" w:fill="auto"/>
            <w:noWrap/>
            <w:vAlign w:val="bottom"/>
            <w:hideMark/>
          </w:tcPr>
          <w:p w14:paraId="7AFC2959" w14:textId="77777777" w:rsidR="000915C1" w:rsidRP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42,224</w:t>
            </w:r>
          </w:p>
        </w:tc>
        <w:tc>
          <w:tcPr>
            <w:tcW w:w="1636" w:type="dxa"/>
            <w:tcBorders>
              <w:top w:val="nil"/>
              <w:left w:val="nil"/>
              <w:bottom w:val="single" w:sz="4" w:space="0" w:color="auto"/>
              <w:right w:val="single" w:sz="4" w:space="0" w:color="auto"/>
            </w:tcBorders>
            <w:shd w:val="clear" w:color="auto" w:fill="auto"/>
            <w:noWrap/>
            <w:vAlign w:val="bottom"/>
            <w:hideMark/>
          </w:tcPr>
          <w:p w14:paraId="36CB3910" w14:textId="77777777" w:rsidR="000915C1" w:rsidRP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0,00</w:t>
            </w:r>
          </w:p>
        </w:tc>
        <w:tc>
          <w:tcPr>
            <w:tcW w:w="1480" w:type="dxa"/>
            <w:tcBorders>
              <w:top w:val="nil"/>
              <w:left w:val="nil"/>
              <w:bottom w:val="single" w:sz="4" w:space="0" w:color="auto"/>
              <w:right w:val="single" w:sz="4" w:space="0" w:color="auto"/>
            </w:tcBorders>
            <w:shd w:val="clear" w:color="auto" w:fill="auto"/>
            <w:noWrap/>
            <w:vAlign w:val="bottom"/>
            <w:hideMark/>
          </w:tcPr>
          <w:p w14:paraId="2D58ECDC" w14:textId="77777777" w:rsidR="000915C1" w:rsidRPr="000915C1" w:rsidRDefault="000915C1" w:rsidP="000915C1">
            <w:pPr>
              <w:spacing w:after="160" w:line="259" w:lineRule="auto"/>
              <w:ind w:left="708"/>
              <w:rPr>
                <w:rFonts w:eastAsia="Calibri" w:cs="Arial"/>
                <w:b/>
                <w:bCs/>
                <w:kern w:val="2"/>
                <w:lang w:val="es-ES" w:eastAsia="en-US"/>
              </w:rPr>
            </w:pPr>
            <w:r w:rsidRPr="000915C1">
              <w:rPr>
                <w:rFonts w:eastAsia="Calibri" w:cs="Arial"/>
                <w:b/>
                <w:bCs/>
                <w:kern w:val="2"/>
                <w:lang w:val="es-ES" w:eastAsia="en-US"/>
              </w:rPr>
              <w:t>42,224</w:t>
            </w:r>
          </w:p>
        </w:tc>
      </w:tr>
      <w:bookmarkEnd w:id="1"/>
    </w:tbl>
    <w:p w14:paraId="1C49EA5E" w14:textId="77777777" w:rsidR="000915C1" w:rsidRPr="000915C1" w:rsidRDefault="000915C1" w:rsidP="000915C1">
      <w:pPr>
        <w:spacing w:after="160" w:line="259" w:lineRule="auto"/>
        <w:ind w:left="708"/>
        <w:rPr>
          <w:rFonts w:eastAsia="Calibri" w:cs="Arial"/>
          <w:kern w:val="2"/>
          <w:lang w:val="es-ES" w:eastAsia="en-US"/>
        </w:rPr>
      </w:pPr>
    </w:p>
    <w:p w14:paraId="5AB0E5C6" w14:textId="77777777" w:rsidR="000915C1" w:rsidRPr="000915C1" w:rsidRDefault="000915C1" w:rsidP="000915C1">
      <w:pPr>
        <w:numPr>
          <w:ilvl w:val="0"/>
          <w:numId w:val="7"/>
        </w:numPr>
        <w:spacing w:after="160" w:line="259" w:lineRule="auto"/>
        <w:rPr>
          <w:rFonts w:eastAsia="Calibri" w:cs="Arial"/>
          <w:kern w:val="2"/>
          <w:lang w:val="es-ES" w:eastAsia="en-US"/>
        </w:rPr>
      </w:pPr>
      <w:r w:rsidRPr="000915C1">
        <w:rPr>
          <w:rFonts w:eastAsia="Calibri" w:cs="Arial"/>
          <w:kern w:val="2"/>
          <w:lang w:val="es-ES" w:eastAsia="en-US"/>
        </w:rPr>
        <w:t xml:space="preserve">Méritos profesionales. Conforme a lo establecido en las bases de </w:t>
      </w:r>
      <w:proofErr w:type="spellStart"/>
      <w:r w:rsidRPr="000915C1">
        <w:rPr>
          <w:rFonts w:eastAsia="Calibri" w:cs="Arial"/>
          <w:kern w:val="2"/>
          <w:lang w:val="es-ES" w:eastAsia="en-US"/>
        </w:rPr>
        <w:t>Ia</w:t>
      </w:r>
      <w:proofErr w:type="spellEnd"/>
      <w:r w:rsidRPr="000915C1">
        <w:rPr>
          <w:rFonts w:eastAsia="Calibri" w:cs="Arial"/>
          <w:kern w:val="2"/>
          <w:lang w:val="es-ES" w:eastAsia="en-US"/>
        </w:rPr>
        <w:t xml:space="preserve"> convocatoria, en la valoración de los méritos únicamente se han tenido en cuenta los obtenidos hasta la fecha de su publicación en el Boletín Oficial de Navarra.</w:t>
      </w:r>
    </w:p>
    <w:p w14:paraId="4F6BBDA9" w14:textId="77777777" w:rsidR="000915C1" w:rsidRPr="000915C1" w:rsidRDefault="000915C1" w:rsidP="000915C1">
      <w:pPr>
        <w:spacing w:after="160" w:line="259" w:lineRule="auto"/>
        <w:ind w:left="708"/>
        <w:rPr>
          <w:rFonts w:eastAsia="Calibri" w:cs="Arial"/>
          <w:kern w:val="2"/>
          <w:lang w:val="es-ES" w:eastAsia="en-US"/>
        </w:rPr>
      </w:pPr>
    </w:p>
    <w:p w14:paraId="7357E956" w14:textId="77777777" w:rsidR="000915C1" w:rsidRPr="000915C1" w:rsidRDefault="000915C1" w:rsidP="000915C1">
      <w:pPr>
        <w:numPr>
          <w:ilvl w:val="0"/>
          <w:numId w:val="7"/>
        </w:numPr>
        <w:spacing w:after="160" w:line="259" w:lineRule="auto"/>
        <w:rPr>
          <w:rFonts w:eastAsia="Calibri" w:cs="Arial"/>
          <w:kern w:val="2"/>
          <w:lang w:val="es-ES" w:eastAsia="en-US"/>
        </w:rPr>
      </w:pPr>
      <w:r w:rsidRPr="000915C1">
        <w:rPr>
          <w:rFonts w:eastAsia="Calibri" w:cs="Arial"/>
          <w:kern w:val="2"/>
          <w:lang w:val="es-ES" w:eastAsia="en-US"/>
        </w:rPr>
        <w:t>Otros méritos: Conocimiento del euskera. Habiendo sido declarado preceptivo la plaza convocada, no procede su valoración como mérito profesional.</w:t>
      </w:r>
    </w:p>
    <w:p w14:paraId="0E9F8C7E" w14:textId="77777777" w:rsidR="000915C1" w:rsidRPr="000915C1" w:rsidRDefault="000915C1" w:rsidP="000915C1">
      <w:pPr>
        <w:spacing w:after="160" w:line="259" w:lineRule="auto"/>
        <w:ind w:left="708"/>
        <w:rPr>
          <w:rFonts w:eastAsia="Calibri" w:cs="Arial"/>
          <w:kern w:val="2"/>
          <w:lang w:val="es-ES" w:eastAsia="en-US"/>
        </w:rPr>
      </w:pPr>
    </w:p>
    <w:p w14:paraId="19DD882E" w14:textId="77777777" w:rsidR="000915C1" w:rsidRPr="000915C1" w:rsidRDefault="000915C1" w:rsidP="000915C1">
      <w:pPr>
        <w:spacing w:after="160" w:line="259" w:lineRule="auto"/>
        <w:ind w:left="708"/>
        <w:rPr>
          <w:rFonts w:eastAsia="Calibri" w:cs="Arial"/>
          <w:kern w:val="2"/>
          <w:lang w:val="es-ES" w:eastAsia="en-US"/>
        </w:rPr>
      </w:pPr>
      <w:bookmarkStart w:id="2" w:name="_Hlk159926666"/>
      <w:r w:rsidRPr="000915C1">
        <w:rPr>
          <w:rFonts w:eastAsia="Calibri" w:cs="Arial"/>
          <w:kern w:val="2"/>
          <w:lang w:val="es-ES" w:eastAsia="en-US"/>
        </w:rPr>
        <w:t>Conforme a lo establecido en las bases de la convocatoria, las personas aspirantes dispondrán de un plazo de cinco días hábiles para la presentación de alegaciones a esta valoración provisional de méritos.</w:t>
      </w:r>
    </w:p>
    <w:p w14:paraId="62BE0E59" w14:textId="77777777" w:rsidR="000915C1" w:rsidRPr="000915C1" w:rsidRDefault="000915C1" w:rsidP="000915C1">
      <w:pPr>
        <w:spacing w:after="160" w:line="259" w:lineRule="auto"/>
        <w:ind w:left="708"/>
        <w:rPr>
          <w:rFonts w:eastAsia="Calibri" w:cs="Arial"/>
          <w:kern w:val="2"/>
          <w:lang w:val="es-ES" w:eastAsia="en-US"/>
        </w:rPr>
      </w:pPr>
    </w:p>
    <w:p w14:paraId="30394AAB" w14:textId="77777777" w:rsidR="000915C1" w:rsidRPr="000915C1" w:rsidRDefault="000915C1" w:rsidP="000915C1">
      <w:pPr>
        <w:spacing w:after="160" w:line="259" w:lineRule="auto"/>
        <w:ind w:left="708"/>
        <w:rPr>
          <w:rFonts w:eastAsia="Calibri" w:cs="Arial"/>
          <w:kern w:val="2"/>
          <w:lang w:val="es-ES" w:eastAsia="en-US"/>
        </w:rPr>
      </w:pPr>
      <w:r w:rsidRPr="000915C1">
        <w:rPr>
          <w:rFonts w:eastAsia="Calibri" w:cs="Arial"/>
          <w:kern w:val="2"/>
          <w:lang w:val="es-ES" w:eastAsia="en-US"/>
        </w:rPr>
        <w:t xml:space="preserve">En Huarte, a la fecha de la firma electrónica. </w:t>
      </w:r>
      <w:bookmarkEnd w:id="2"/>
    </w:p>
    <w:p w14:paraId="374C0196" w14:textId="20F24FE6" w:rsidR="00446BE3" w:rsidRPr="00446BE3" w:rsidRDefault="00446BE3" w:rsidP="00446BE3">
      <w:pPr>
        <w:spacing w:after="160" w:line="259" w:lineRule="auto"/>
        <w:ind w:left="708"/>
        <w:rPr>
          <w:rFonts w:eastAsia="Calibri" w:cs="Arial"/>
          <w:kern w:val="2"/>
          <w:lang w:eastAsia="en-US"/>
        </w:rPr>
      </w:pPr>
    </w:p>
    <w:sectPr w:rsidR="00446BE3" w:rsidRPr="00446BE3">
      <w:headerReference w:type="even" r:id="rId7"/>
      <w:headerReference w:type="default" r:id="rId8"/>
      <w:footerReference w:type="even" r:id="rId9"/>
      <w:footerReference w:type="default" r:id="rId10"/>
      <w:headerReference w:type="first" r:id="rId11"/>
      <w:footerReference w:type="first" r:id="rId12"/>
      <w:pgSz w:w="11906" w:h="16838"/>
      <w:pgMar w:top="1701" w:right="1134" w:bottom="1418" w:left="1418" w:header="56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E32FA" w14:textId="77777777" w:rsidR="00973AE8" w:rsidRDefault="003D3D4A">
      <w:r>
        <w:separator/>
      </w:r>
    </w:p>
  </w:endnote>
  <w:endnote w:type="continuationSeparator" w:id="0">
    <w:p w14:paraId="54B992F1" w14:textId="77777777" w:rsidR="00973AE8" w:rsidRDefault="003D3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C6523" w14:textId="77777777" w:rsidR="00973AE8" w:rsidRDefault="00973AE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51C66" w14:textId="77777777" w:rsidR="00973AE8" w:rsidRDefault="00973AE8">
    <w:pPr>
      <w:pStyle w:val="Piedep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1508A" w14:textId="77777777" w:rsidR="00973AE8" w:rsidRDefault="00973A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75B81" w14:textId="77777777" w:rsidR="00973AE8" w:rsidRDefault="003D3D4A">
      <w:r>
        <w:separator/>
      </w:r>
    </w:p>
  </w:footnote>
  <w:footnote w:type="continuationSeparator" w:id="0">
    <w:p w14:paraId="43CD4809" w14:textId="77777777" w:rsidR="00973AE8" w:rsidRDefault="003D3D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79B05" w14:textId="77777777" w:rsidR="00973AE8" w:rsidRDefault="00973AE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567" w:type="dxa"/>
      <w:tblLayout w:type="fixed"/>
      <w:tblLook w:val="0000" w:firstRow="0" w:lastRow="0" w:firstColumn="0" w:lastColumn="0" w:noHBand="0" w:noVBand="0"/>
    </w:tblPr>
    <w:tblGrid>
      <w:gridCol w:w="1359"/>
      <w:gridCol w:w="6590"/>
      <w:gridCol w:w="2257"/>
    </w:tblGrid>
    <w:tr w:rsidR="00973AE8" w14:paraId="1AF8A27B" w14:textId="77777777">
      <w:tc>
        <w:tcPr>
          <w:tcW w:w="1359" w:type="dxa"/>
          <w:shd w:val="clear" w:color="auto" w:fill="auto"/>
        </w:tcPr>
        <w:p w14:paraId="13AD7DA7" w14:textId="77777777" w:rsidR="00973AE8" w:rsidRDefault="00446BE3">
          <w:pPr>
            <w:pStyle w:val="Encabezado"/>
            <w:rPr>
              <w:rFonts w:ascii="Arial Rounded MT Bold" w:hAnsi="Arial Rounded MT Bold"/>
              <w:b/>
              <w:color w:val="7F7F7F"/>
              <w:szCs w:val="28"/>
              <w:u w:val="single"/>
            </w:rPr>
          </w:pPr>
          <w:r>
            <w:pict w14:anchorId="7A2014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76.8pt;mso-wrap-style:none;mso-position-horizontal-relative:char;mso-position-vertical-relative:line;v-text-anchor:middle">
                <v:fill type="frame"/>
                <v:imagedata r:id="rId1" o:title=""/>
              </v:shape>
            </w:pict>
          </w:r>
        </w:p>
      </w:tc>
      <w:tc>
        <w:tcPr>
          <w:tcW w:w="6590" w:type="dxa"/>
          <w:shd w:val="clear" w:color="auto" w:fill="auto"/>
        </w:tcPr>
        <w:p w14:paraId="01BA3521" w14:textId="77777777" w:rsidR="00973AE8" w:rsidRDefault="00973AE8">
          <w:pPr>
            <w:rPr>
              <w:rFonts w:ascii="Arial Rounded MT Bold" w:hAnsi="Arial Rounded MT Bold"/>
              <w:b/>
              <w:color w:val="7F7F7F"/>
              <w:szCs w:val="28"/>
              <w:u w:val="single"/>
            </w:rPr>
          </w:pPr>
        </w:p>
        <w:p w14:paraId="5F94F513" w14:textId="77777777" w:rsidR="00973AE8" w:rsidRDefault="00973AE8">
          <w:pPr>
            <w:rPr>
              <w:rFonts w:ascii="Arial Rounded MT Bold" w:hAnsi="Arial Rounded MT Bold"/>
              <w:b/>
              <w:color w:val="7F7F7F"/>
              <w:szCs w:val="28"/>
              <w:u w:val="single"/>
            </w:rPr>
          </w:pPr>
        </w:p>
        <w:p w14:paraId="154F1AFE" w14:textId="77777777" w:rsidR="00973AE8" w:rsidRDefault="003D3D4A">
          <w:r>
            <w:rPr>
              <w:rFonts w:ascii="Arial Rounded MT Bold" w:hAnsi="Arial Rounded MT Bold"/>
              <w:b/>
              <w:color w:val="7F7F7F"/>
              <w:szCs w:val="28"/>
              <w:u w:val="single"/>
            </w:rPr>
            <w:t>Uharteko Udala</w:t>
          </w:r>
        </w:p>
        <w:p w14:paraId="0EF6401D" w14:textId="57280CEC" w:rsidR="00973AE8" w:rsidRPr="00E22FCB" w:rsidRDefault="003D3D4A" w:rsidP="00E22FCB">
          <w:r>
            <w:rPr>
              <w:rFonts w:ascii="Arial Rounded MT Bold" w:hAnsi="Arial Rounded MT Bold"/>
              <w:b/>
              <w:color w:val="7F7F7F"/>
              <w:szCs w:val="28"/>
              <w:u w:val="single"/>
            </w:rPr>
            <w:t>Ayuntamiento de Huarte</w:t>
          </w:r>
        </w:p>
      </w:tc>
      <w:tc>
        <w:tcPr>
          <w:tcW w:w="2257" w:type="dxa"/>
          <w:shd w:val="clear" w:color="auto" w:fill="auto"/>
        </w:tcPr>
        <w:p w14:paraId="18064412" w14:textId="77777777" w:rsidR="00973AE8" w:rsidRDefault="003D3D4A" w:rsidP="00E22FCB">
          <w:pPr>
            <w:pStyle w:val="Encabezado"/>
            <w:spacing w:after="0"/>
          </w:pPr>
          <w:r>
            <w:rPr>
              <w:rFonts w:ascii="Helvetica" w:hAnsi="Helvetica"/>
              <w:color w:val="808080"/>
              <w:sz w:val="16"/>
              <w:szCs w:val="16"/>
            </w:rPr>
            <w:t>Pl. San Juan, 1</w:t>
          </w:r>
        </w:p>
        <w:p w14:paraId="436E2E78" w14:textId="77777777" w:rsidR="00973AE8" w:rsidRDefault="003D3D4A" w:rsidP="00E22FCB">
          <w:pPr>
            <w:pStyle w:val="Encabezado"/>
            <w:spacing w:after="0"/>
          </w:pPr>
          <w:r>
            <w:rPr>
              <w:rFonts w:ascii="Helvetica" w:hAnsi="Helvetica"/>
              <w:color w:val="808080"/>
              <w:sz w:val="16"/>
              <w:szCs w:val="16"/>
            </w:rPr>
            <w:t>31620 UHARTE / HUARTE</w:t>
          </w:r>
        </w:p>
        <w:p w14:paraId="74F999D1" w14:textId="77777777" w:rsidR="00973AE8" w:rsidRDefault="003D3D4A" w:rsidP="00E22FCB">
          <w:pPr>
            <w:pStyle w:val="Encabezado"/>
            <w:spacing w:after="0"/>
          </w:pPr>
          <w:r>
            <w:rPr>
              <w:rFonts w:ascii="Helvetica" w:hAnsi="Helvetica"/>
              <w:color w:val="808080"/>
              <w:sz w:val="16"/>
              <w:szCs w:val="16"/>
            </w:rPr>
            <w:t>(Nafarroa / Navarra)</w:t>
          </w:r>
        </w:p>
        <w:p w14:paraId="268EDA2B" w14:textId="77777777" w:rsidR="00973AE8" w:rsidRDefault="003D3D4A" w:rsidP="00E22FCB">
          <w:pPr>
            <w:pStyle w:val="Encabezado"/>
            <w:spacing w:after="0"/>
          </w:pPr>
          <w:r>
            <w:rPr>
              <w:rFonts w:ascii="Helvetica" w:hAnsi="Helvetica"/>
              <w:color w:val="808080"/>
              <w:sz w:val="16"/>
              <w:szCs w:val="16"/>
            </w:rPr>
            <w:t xml:space="preserve">IFZ / </w:t>
          </w:r>
          <w:proofErr w:type="spellStart"/>
          <w:r>
            <w:rPr>
              <w:rFonts w:ascii="Helvetica" w:hAnsi="Helvetica"/>
              <w:color w:val="808080"/>
              <w:sz w:val="16"/>
              <w:szCs w:val="16"/>
            </w:rPr>
            <w:t>CIF</w:t>
          </w:r>
          <w:proofErr w:type="spellEnd"/>
          <w:r>
            <w:rPr>
              <w:rFonts w:ascii="Helvetica" w:hAnsi="Helvetica"/>
              <w:color w:val="808080"/>
              <w:sz w:val="16"/>
              <w:szCs w:val="16"/>
            </w:rPr>
            <w:t xml:space="preserve"> – P 3112100 G</w:t>
          </w:r>
        </w:p>
        <w:p w14:paraId="5154652F" w14:textId="77777777" w:rsidR="00973AE8" w:rsidRDefault="003D3D4A" w:rsidP="00E22FCB">
          <w:pPr>
            <w:pStyle w:val="Encabezado"/>
            <w:spacing w:after="0"/>
          </w:pPr>
          <w:r>
            <w:rPr>
              <w:rFonts w:ascii="Helvetica" w:hAnsi="Helvetica"/>
              <w:color w:val="808080"/>
              <w:sz w:val="16"/>
              <w:szCs w:val="16"/>
            </w:rPr>
            <w:t>Tel. 948 33 07 61</w:t>
          </w:r>
        </w:p>
        <w:p w14:paraId="2DBA9371" w14:textId="77777777" w:rsidR="00973AE8" w:rsidRDefault="003D3D4A" w:rsidP="00E22FCB">
          <w:pPr>
            <w:pStyle w:val="Encabezado"/>
            <w:spacing w:after="0"/>
          </w:pPr>
          <w:r>
            <w:rPr>
              <w:rFonts w:ascii="Helvetica" w:hAnsi="Helvetica"/>
              <w:color w:val="808080"/>
              <w:sz w:val="16"/>
              <w:szCs w:val="16"/>
            </w:rPr>
            <w:t>Fax 948 33 19 13</w:t>
          </w:r>
        </w:p>
        <w:p w14:paraId="69B727F2" w14:textId="77777777" w:rsidR="00973AE8" w:rsidRDefault="000915C1" w:rsidP="00E22FCB">
          <w:pPr>
            <w:pStyle w:val="Encabezado"/>
            <w:spacing w:after="0"/>
          </w:pPr>
          <w:hyperlink r:id="rId2" w:history="1">
            <w:r w:rsidR="003D3D4A">
              <w:rPr>
                <w:rStyle w:val="Hipervnculo"/>
                <w:rFonts w:ascii="Helvetica" w:hAnsi="Helvetica"/>
                <w:sz w:val="16"/>
                <w:szCs w:val="16"/>
              </w:rPr>
              <w:t>ayuntamiento@huarte.es</w:t>
            </w:r>
          </w:hyperlink>
          <w:r w:rsidR="003D3D4A">
            <w:rPr>
              <w:rFonts w:ascii="Helvetica" w:hAnsi="Helvetica"/>
              <w:color w:val="808080"/>
              <w:sz w:val="16"/>
              <w:szCs w:val="16"/>
            </w:rPr>
            <w:t xml:space="preserve"> </w:t>
          </w:r>
        </w:p>
        <w:p w14:paraId="32845D36" w14:textId="77777777" w:rsidR="00973AE8" w:rsidRDefault="000915C1" w:rsidP="00E22FCB">
          <w:pPr>
            <w:pStyle w:val="Encabezado"/>
            <w:spacing w:after="0"/>
            <w:rPr>
              <w:sz w:val="4"/>
              <w:szCs w:val="4"/>
            </w:rPr>
          </w:pPr>
          <w:hyperlink r:id="rId3" w:history="1">
            <w:r w:rsidR="003D3D4A">
              <w:rPr>
                <w:rStyle w:val="Hipervnculo"/>
                <w:rFonts w:ascii="Helvetica" w:hAnsi="Helvetica"/>
                <w:sz w:val="16"/>
                <w:szCs w:val="16"/>
              </w:rPr>
              <w:t>www.huarte.es</w:t>
            </w:r>
          </w:hyperlink>
        </w:p>
      </w:tc>
    </w:tr>
  </w:tbl>
  <w:p w14:paraId="4F7E158F" w14:textId="77777777" w:rsidR="00973AE8" w:rsidRDefault="00973AE8">
    <w:pPr>
      <w:pStyle w:val="Encabezado"/>
      <w:rPr>
        <w:sz w:val="4"/>
        <w:szCs w:val="4"/>
      </w:rPr>
    </w:pPr>
  </w:p>
  <w:p w14:paraId="330DF6BA" w14:textId="77777777" w:rsidR="00973AE8" w:rsidRDefault="00973AE8">
    <w:pPr>
      <w:pStyle w:val="Encabezado"/>
      <w:ind w:left="7560"/>
      <w:rPr>
        <w:rFonts w:ascii="Helvetica" w:hAnsi="Helvetica"/>
        <w:color w:val="808080"/>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8345B" w14:textId="77777777" w:rsidR="00973AE8" w:rsidRDefault="00973AE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57C0F"/>
    <w:multiLevelType w:val="hybridMultilevel"/>
    <w:tmpl w:val="4558B172"/>
    <w:lvl w:ilvl="0" w:tplc="042D0001">
      <w:start w:val="1"/>
      <w:numFmt w:val="bullet"/>
      <w:lvlText w:val=""/>
      <w:lvlJc w:val="left"/>
      <w:pPr>
        <w:ind w:left="1428" w:hanging="360"/>
      </w:pPr>
      <w:rPr>
        <w:rFonts w:ascii="Symbol" w:hAnsi="Symbol" w:hint="default"/>
      </w:rPr>
    </w:lvl>
    <w:lvl w:ilvl="1" w:tplc="042D0003" w:tentative="1">
      <w:start w:val="1"/>
      <w:numFmt w:val="bullet"/>
      <w:lvlText w:val="o"/>
      <w:lvlJc w:val="left"/>
      <w:pPr>
        <w:ind w:left="2148" w:hanging="360"/>
      </w:pPr>
      <w:rPr>
        <w:rFonts w:ascii="Courier New" w:hAnsi="Courier New" w:cs="Courier New" w:hint="default"/>
      </w:rPr>
    </w:lvl>
    <w:lvl w:ilvl="2" w:tplc="042D0005" w:tentative="1">
      <w:start w:val="1"/>
      <w:numFmt w:val="bullet"/>
      <w:lvlText w:val=""/>
      <w:lvlJc w:val="left"/>
      <w:pPr>
        <w:ind w:left="2868" w:hanging="360"/>
      </w:pPr>
      <w:rPr>
        <w:rFonts w:ascii="Wingdings" w:hAnsi="Wingdings" w:hint="default"/>
      </w:rPr>
    </w:lvl>
    <w:lvl w:ilvl="3" w:tplc="042D0001" w:tentative="1">
      <w:start w:val="1"/>
      <w:numFmt w:val="bullet"/>
      <w:lvlText w:val=""/>
      <w:lvlJc w:val="left"/>
      <w:pPr>
        <w:ind w:left="3588" w:hanging="360"/>
      </w:pPr>
      <w:rPr>
        <w:rFonts w:ascii="Symbol" w:hAnsi="Symbol" w:hint="default"/>
      </w:rPr>
    </w:lvl>
    <w:lvl w:ilvl="4" w:tplc="042D0003" w:tentative="1">
      <w:start w:val="1"/>
      <w:numFmt w:val="bullet"/>
      <w:lvlText w:val="o"/>
      <w:lvlJc w:val="left"/>
      <w:pPr>
        <w:ind w:left="4308" w:hanging="360"/>
      </w:pPr>
      <w:rPr>
        <w:rFonts w:ascii="Courier New" w:hAnsi="Courier New" w:cs="Courier New" w:hint="default"/>
      </w:rPr>
    </w:lvl>
    <w:lvl w:ilvl="5" w:tplc="042D0005" w:tentative="1">
      <w:start w:val="1"/>
      <w:numFmt w:val="bullet"/>
      <w:lvlText w:val=""/>
      <w:lvlJc w:val="left"/>
      <w:pPr>
        <w:ind w:left="5028" w:hanging="360"/>
      </w:pPr>
      <w:rPr>
        <w:rFonts w:ascii="Wingdings" w:hAnsi="Wingdings" w:hint="default"/>
      </w:rPr>
    </w:lvl>
    <w:lvl w:ilvl="6" w:tplc="042D0001" w:tentative="1">
      <w:start w:val="1"/>
      <w:numFmt w:val="bullet"/>
      <w:lvlText w:val=""/>
      <w:lvlJc w:val="left"/>
      <w:pPr>
        <w:ind w:left="5748" w:hanging="360"/>
      </w:pPr>
      <w:rPr>
        <w:rFonts w:ascii="Symbol" w:hAnsi="Symbol" w:hint="default"/>
      </w:rPr>
    </w:lvl>
    <w:lvl w:ilvl="7" w:tplc="042D0003" w:tentative="1">
      <w:start w:val="1"/>
      <w:numFmt w:val="bullet"/>
      <w:lvlText w:val="o"/>
      <w:lvlJc w:val="left"/>
      <w:pPr>
        <w:ind w:left="6468" w:hanging="360"/>
      </w:pPr>
      <w:rPr>
        <w:rFonts w:ascii="Courier New" w:hAnsi="Courier New" w:cs="Courier New" w:hint="default"/>
      </w:rPr>
    </w:lvl>
    <w:lvl w:ilvl="8" w:tplc="042D0005" w:tentative="1">
      <w:start w:val="1"/>
      <w:numFmt w:val="bullet"/>
      <w:lvlText w:val=""/>
      <w:lvlJc w:val="left"/>
      <w:pPr>
        <w:ind w:left="7188" w:hanging="360"/>
      </w:pPr>
      <w:rPr>
        <w:rFonts w:ascii="Wingdings" w:hAnsi="Wingdings" w:hint="default"/>
      </w:rPr>
    </w:lvl>
  </w:abstractNum>
  <w:abstractNum w:abstractNumId="1" w15:restartNumberingAfterBreak="0">
    <w:nsid w:val="1C5632EA"/>
    <w:multiLevelType w:val="hybridMultilevel"/>
    <w:tmpl w:val="42F8B8C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 w15:restartNumberingAfterBreak="0">
    <w:nsid w:val="393A21C1"/>
    <w:multiLevelType w:val="hybridMultilevel"/>
    <w:tmpl w:val="96223718"/>
    <w:lvl w:ilvl="0" w:tplc="8C228FFE">
      <w:start w:val="1"/>
      <w:numFmt w:val="lowerLetter"/>
      <w:lvlText w:val="%1)"/>
      <w:lvlJc w:val="left"/>
      <w:pPr>
        <w:ind w:left="1068" w:hanging="360"/>
      </w:pPr>
      <w:rPr>
        <w:rFonts w:hint="default"/>
      </w:rPr>
    </w:lvl>
    <w:lvl w:ilvl="1" w:tplc="042D0019" w:tentative="1">
      <w:start w:val="1"/>
      <w:numFmt w:val="lowerLetter"/>
      <w:lvlText w:val="%2."/>
      <w:lvlJc w:val="left"/>
      <w:pPr>
        <w:ind w:left="1788" w:hanging="360"/>
      </w:pPr>
    </w:lvl>
    <w:lvl w:ilvl="2" w:tplc="042D001B" w:tentative="1">
      <w:start w:val="1"/>
      <w:numFmt w:val="lowerRoman"/>
      <w:lvlText w:val="%3."/>
      <w:lvlJc w:val="right"/>
      <w:pPr>
        <w:ind w:left="2508" w:hanging="180"/>
      </w:pPr>
    </w:lvl>
    <w:lvl w:ilvl="3" w:tplc="042D000F" w:tentative="1">
      <w:start w:val="1"/>
      <w:numFmt w:val="decimal"/>
      <w:lvlText w:val="%4."/>
      <w:lvlJc w:val="left"/>
      <w:pPr>
        <w:ind w:left="3228" w:hanging="360"/>
      </w:pPr>
    </w:lvl>
    <w:lvl w:ilvl="4" w:tplc="042D0019" w:tentative="1">
      <w:start w:val="1"/>
      <w:numFmt w:val="lowerLetter"/>
      <w:lvlText w:val="%5."/>
      <w:lvlJc w:val="left"/>
      <w:pPr>
        <w:ind w:left="3948" w:hanging="360"/>
      </w:pPr>
    </w:lvl>
    <w:lvl w:ilvl="5" w:tplc="042D001B" w:tentative="1">
      <w:start w:val="1"/>
      <w:numFmt w:val="lowerRoman"/>
      <w:lvlText w:val="%6."/>
      <w:lvlJc w:val="right"/>
      <w:pPr>
        <w:ind w:left="4668" w:hanging="180"/>
      </w:pPr>
    </w:lvl>
    <w:lvl w:ilvl="6" w:tplc="042D000F" w:tentative="1">
      <w:start w:val="1"/>
      <w:numFmt w:val="decimal"/>
      <w:lvlText w:val="%7."/>
      <w:lvlJc w:val="left"/>
      <w:pPr>
        <w:ind w:left="5388" w:hanging="360"/>
      </w:pPr>
    </w:lvl>
    <w:lvl w:ilvl="7" w:tplc="042D0019" w:tentative="1">
      <w:start w:val="1"/>
      <w:numFmt w:val="lowerLetter"/>
      <w:lvlText w:val="%8."/>
      <w:lvlJc w:val="left"/>
      <w:pPr>
        <w:ind w:left="6108" w:hanging="360"/>
      </w:pPr>
    </w:lvl>
    <w:lvl w:ilvl="8" w:tplc="042D001B" w:tentative="1">
      <w:start w:val="1"/>
      <w:numFmt w:val="lowerRoman"/>
      <w:lvlText w:val="%9."/>
      <w:lvlJc w:val="right"/>
      <w:pPr>
        <w:ind w:left="6828" w:hanging="180"/>
      </w:pPr>
    </w:lvl>
  </w:abstractNum>
  <w:abstractNum w:abstractNumId="3" w15:restartNumberingAfterBreak="0">
    <w:nsid w:val="42ED4D36"/>
    <w:multiLevelType w:val="hybridMultilevel"/>
    <w:tmpl w:val="34680084"/>
    <w:lvl w:ilvl="0" w:tplc="4FAABC94">
      <w:start w:val="1"/>
      <w:numFmt w:val="lowerLetter"/>
      <w:lvlText w:val="%1)"/>
      <w:lvlJc w:val="left"/>
      <w:pPr>
        <w:ind w:left="1068" w:hanging="360"/>
      </w:pPr>
      <w:rPr>
        <w:rFonts w:hint="default"/>
      </w:rPr>
    </w:lvl>
    <w:lvl w:ilvl="1" w:tplc="042D0019" w:tentative="1">
      <w:start w:val="1"/>
      <w:numFmt w:val="lowerLetter"/>
      <w:lvlText w:val="%2."/>
      <w:lvlJc w:val="left"/>
      <w:pPr>
        <w:ind w:left="1788" w:hanging="360"/>
      </w:pPr>
    </w:lvl>
    <w:lvl w:ilvl="2" w:tplc="042D001B" w:tentative="1">
      <w:start w:val="1"/>
      <w:numFmt w:val="lowerRoman"/>
      <w:lvlText w:val="%3."/>
      <w:lvlJc w:val="right"/>
      <w:pPr>
        <w:ind w:left="2508" w:hanging="180"/>
      </w:pPr>
    </w:lvl>
    <w:lvl w:ilvl="3" w:tplc="042D000F" w:tentative="1">
      <w:start w:val="1"/>
      <w:numFmt w:val="decimal"/>
      <w:lvlText w:val="%4."/>
      <w:lvlJc w:val="left"/>
      <w:pPr>
        <w:ind w:left="3228" w:hanging="360"/>
      </w:pPr>
    </w:lvl>
    <w:lvl w:ilvl="4" w:tplc="042D0019" w:tentative="1">
      <w:start w:val="1"/>
      <w:numFmt w:val="lowerLetter"/>
      <w:lvlText w:val="%5."/>
      <w:lvlJc w:val="left"/>
      <w:pPr>
        <w:ind w:left="3948" w:hanging="360"/>
      </w:pPr>
    </w:lvl>
    <w:lvl w:ilvl="5" w:tplc="042D001B" w:tentative="1">
      <w:start w:val="1"/>
      <w:numFmt w:val="lowerRoman"/>
      <w:lvlText w:val="%6."/>
      <w:lvlJc w:val="right"/>
      <w:pPr>
        <w:ind w:left="4668" w:hanging="180"/>
      </w:pPr>
    </w:lvl>
    <w:lvl w:ilvl="6" w:tplc="042D000F" w:tentative="1">
      <w:start w:val="1"/>
      <w:numFmt w:val="decimal"/>
      <w:lvlText w:val="%7."/>
      <w:lvlJc w:val="left"/>
      <w:pPr>
        <w:ind w:left="5388" w:hanging="360"/>
      </w:pPr>
    </w:lvl>
    <w:lvl w:ilvl="7" w:tplc="042D0019" w:tentative="1">
      <w:start w:val="1"/>
      <w:numFmt w:val="lowerLetter"/>
      <w:lvlText w:val="%8."/>
      <w:lvlJc w:val="left"/>
      <w:pPr>
        <w:ind w:left="6108" w:hanging="360"/>
      </w:pPr>
    </w:lvl>
    <w:lvl w:ilvl="8" w:tplc="042D001B" w:tentative="1">
      <w:start w:val="1"/>
      <w:numFmt w:val="lowerRoman"/>
      <w:lvlText w:val="%9."/>
      <w:lvlJc w:val="right"/>
      <w:pPr>
        <w:ind w:left="6828" w:hanging="180"/>
      </w:pPr>
    </w:lvl>
  </w:abstractNum>
  <w:abstractNum w:abstractNumId="4" w15:restartNumberingAfterBreak="0">
    <w:nsid w:val="59F42801"/>
    <w:multiLevelType w:val="hybridMultilevel"/>
    <w:tmpl w:val="F2F65F58"/>
    <w:lvl w:ilvl="0" w:tplc="04CEBF28">
      <w:start w:val="1"/>
      <w:numFmt w:val="decimal"/>
      <w:lvlText w:val="%1."/>
      <w:lvlJc w:val="left"/>
      <w:pPr>
        <w:ind w:left="1068" w:hanging="360"/>
      </w:pPr>
      <w:rPr>
        <w:rFonts w:hint="default"/>
      </w:rPr>
    </w:lvl>
    <w:lvl w:ilvl="1" w:tplc="042D0019" w:tentative="1">
      <w:start w:val="1"/>
      <w:numFmt w:val="lowerLetter"/>
      <w:lvlText w:val="%2."/>
      <w:lvlJc w:val="left"/>
      <w:pPr>
        <w:ind w:left="1788" w:hanging="360"/>
      </w:pPr>
    </w:lvl>
    <w:lvl w:ilvl="2" w:tplc="042D001B" w:tentative="1">
      <w:start w:val="1"/>
      <w:numFmt w:val="lowerRoman"/>
      <w:lvlText w:val="%3."/>
      <w:lvlJc w:val="right"/>
      <w:pPr>
        <w:ind w:left="2508" w:hanging="180"/>
      </w:pPr>
    </w:lvl>
    <w:lvl w:ilvl="3" w:tplc="042D000F" w:tentative="1">
      <w:start w:val="1"/>
      <w:numFmt w:val="decimal"/>
      <w:lvlText w:val="%4."/>
      <w:lvlJc w:val="left"/>
      <w:pPr>
        <w:ind w:left="3228" w:hanging="360"/>
      </w:pPr>
    </w:lvl>
    <w:lvl w:ilvl="4" w:tplc="042D0019" w:tentative="1">
      <w:start w:val="1"/>
      <w:numFmt w:val="lowerLetter"/>
      <w:lvlText w:val="%5."/>
      <w:lvlJc w:val="left"/>
      <w:pPr>
        <w:ind w:left="3948" w:hanging="360"/>
      </w:pPr>
    </w:lvl>
    <w:lvl w:ilvl="5" w:tplc="042D001B" w:tentative="1">
      <w:start w:val="1"/>
      <w:numFmt w:val="lowerRoman"/>
      <w:lvlText w:val="%6."/>
      <w:lvlJc w:val="right"/>
      <w:pPr>
        <w:ind w:left="4668" w:hanging="180"/>
      </w:pPr>
    </w:lvl>
    <w:lvl w:ilvl="6" w:tplc="042D000F" w:tentative="1">
      <w:start w:val="1"/>
      <w:numFmt w:val="decimal"/>
      <w:lvlText w:val="%7."/>
      <w:lvlJc w:val="left"/>
      <w:pPr>
        <w:ind w:left="5388" w:hanging="360"/>
      </w:pPr>
    </w:lvl>
    <w:lvl w:ilvl="7" w:tplc="042D0019" w:tentative="1">
      <w:start w:val="1"/>
      <w:numFmt w:val="lowerLetter"/>
      <w:lvlText w:val="%8."/>
      <w:lvlJc w:val="left"/>
      <w:pPr>
        <w:ind w:left="6108" w:hanging="360"/>
      </w:pPr>
    </w:lvl>
    <w:lvl w:ilvl="8" w:tplc="042D001B" w:tentative="1">
      <w:start w:val="1"/>
      <w:numFmt w:val="lowerRoman"/>
      <w:lvlText w:val="%9."/>
      <w:lvlJc w:val="right"/>
      <w:pPr>
        <w:ind w:left="6828" w:hanging="180"/>
      </w:pPr>
    </w:lvl>
  </w:abstractNum>
  <w:abstractNum w:abstractNumId="5" w15:restartNumberingAfterBreak="0">
    <w:nsid w:val="63A335B4"/>
    <w:multiLevelType w:val="hybridMultilevel"/>
    <w:tmpl w:val="E4E81410"/>
    <w:lvl w:ilvl="0" w:tplc="B268C61E">
      <w:start w:val="1"/>
      <w:numFmt w:val="decimal"/>
      <w:lvlText w:val="%1."/>
      <w:lvlJc w:val="left"/>
      <w:pPr>
        <w:ind w:left="1068" w:hanging="360"/>
      </w:pPr>
      <w:rPr>
        <w:rFonts w:hint="default"/>
      </w:rPr>
    </w:lvl>
    <w:lvl w:ilvl="1" w:tplc="042D0019" w:tentative="1">
      <w:start w:val="1"/>
      <w:numFmt w:val="lowerLetter"/>
      <w:lvlText w:val="%2."/>
      <w:lvlJc w:val="left"/>
      <w:pPr>
        <w:ind w:left="1788" w:hanging="360"/>
      </w:pPr>
    </w:lvl>
    <w:lvl w:ilvl="2" w:tplc="042D001B" w:tentative="1">
      <w:start w:val="1"/>
      <w:numFmt w:val="lowerRoman"/>
      <w:lvlText w:val="%3."/>
      <w:lvlJc w:val="right"/>
      <w:pPr>
        <w:ind w:left="2508" w:hanging="180"/>
      </w:pPr>
    </w:lvl>
    <w:lvl w:ilvl="3" w:tplc="042D000F" w:tentative="1">
      <w:start w:val="1"/>
      <w:numFmt w:val="decimal"/>
      <w:lvlText w:val="%4."/>
      <w:lvlJc w:val="left"/>
      <w:pPr>
        <w:ind w:left="3228" w:hanging="360"/>
      </w:pPr>
    </w:lvl>
    <w:lvl w:ilvl="4" w:tplc="042D0019" w:tentative="1">
      <w:start w:val="1"/>
      <w:numFmt w:val="lowerLetter"/>
      <w:lvlText w:val="%5."/>
      <w:lvlJc w:val="left"/>
      <w:pPr>
        <w:ind w:left="3948" w:hanging="360"/>
      </w:pPr>
    </w:lvl>
    <w:lvl w:ilvl="5" w:tplc="042D001B" w:tentative="1">
      <w:start w:val="1"/>
      <w:numFmt w:val="lowerRoman"/>
      <w:lvlText w:val="%6."/>
      <w:lvlJc w:val="right"/>
      <w:pPr>
        <w:ind w:left="4668" w:hanging="180"/>
      </w:pPr>
    </w:lvl>
    <w:lvl w:ilvl="6" w:tplc="042D000F" w:tentative="1">
      <w:start w:val="1"/>
      <w:numFmt w:val="decimal"/>
      <w:lvlText w:val="%7."/>
      <w:lvlJc w:val="left"/>
      <w:pPr>
        <w:ind w:left="5388" w:hanging="360"/>
      </w:pPr>
    </w:lvl>
    <w:lvl w:ilvl="7" w:tplc="042D0019" w:tentative="1">
      <w:start w:val="1"/>
      <w:numFmt w:val="lowerLetter"/>
      <w:lvlText w:val="%8."/>
      <w:lvlJc w:val="left"/>
      <w:pPr>
        <w:ind w:left="6108" w:hanging="360"/>
      </w:pPr>
    </w:lvl>
    <w:lvl w:ilvl="8" w:tplc="042D001B" w:tentative="1">
      <w:start w:val="1"/>
      <w:numFmt w:val="lowerRoman"/>
      <w:lvlText w:val="%9."/>
      <w:lvlJc w:val="right"/>
      <w:pPr>
        <w:ind w:left="6828" w:hanging="180"/>
      </w:pPr>
    </w:lvl>
  </w:abstractNum>
  <w:abstractNum w:abstractNumId="6" w15:restartNumberingAfterBreak="0">
    <w:nsid w:val="76695D15"/>
    <w:multiLevelType w:val="hybridMultilevel"/>
    <w:tmpl w:val="C2BE88EC"/>
    <w:lvl w:ilvl="0" w:tplc="32D475E2">
      <w:numFmt w:val="bullet"/>
      <w:lvlText w:val="•"/>
      <w:lvlJc w:val="left"/>
      <w:pPr>
        <w:ind w:left="1417" w:hanging="708"/>
      </w:pPr>
      <w:rPr>
        <w:rFonts w:ascii="Calibri" w:eastAsia="Calibri" w:hAnsi="Calibri" w:cs="Calibri" w:hint="default"/>
      </w:rPr>
    </w:lvl>
    <w:lvl w:ilvl="1" w:tplc="042D0003" w:tentative="1">
      <w:start w:val="1"/>
      <w:numFmt w:val="bullet"/>
      <w:lvlText w:val="o"/>
      <w:lvlJc w:val="left"/>
      <w:pPr>
        <w:ind w:left="1789" w:hanging="360"/>
      </w:pPr>
      <w:rPr>
        <w:rFonts w:ascii="Courier New" w:hAnsi="Courier New" w:cs="Courier New" w:hint="default"/>
      </w:rPr>
    </w:lvl>
    <w:lvl w:ilvl="2" w:tplc="042D0005" w:tentative="1">
      <w:start w:val="1"/>
      <w:numFmt w:val="bullet"/>
      <w:lvlText w:val=""/>
      <w:lvlJc w:val="left"/>
      <w:pPr>
        <w:ind w:left="2509" w:hanging="360"/>
      </w:pPr>
      <w:rPr>
        <w:rFonts w:ascii="Wingdings" w:hAnsi="Wingdings" w:hint="default"/>
      </w:rPr>
    </w:lvl>
    <w:lvl w:ilvl="3" w:tplc="042D0001" w:tentative="1">
      <w:start w:val="1"/>
      <w:numFmt w:val="bullet"/>
      <w:lvlText w:val=""/>
      <w:lvlJc w:val="left"/>
      <w:pPr>
        <w:ind w:left="3229" w:hanging="360"/>
      </w:pPr>
      <w:rPr>
        <w:rFonts w:ascii="Symbol" w:hAnsi="Symbol" w:hint="default"/>
      </w:rPr>
    </w:lvl>
    <w:lvl w:ilvl="4" w:tplc="042D0003" w:tentative="1">
      <w:start w:val="1"/>
      <w:numFmt w:val="bullet"/>
      <w:lvlText w:val="o"/>
      <w:lvlJc w:val="left"/>
      <w:pPr>
        <w:ind w:left="3949" w:hanging="360"/>
      </w:pPr>
      <w:rPr>
        <w:rFonts w:ascii="Courier New" w:hAnsi="Courier New" w:cs="Courier New" w:hint="default"/>
      </w:rPr>
    </w:lvl>
    <w:lvl w:ilvl="5" w:tplc="042D0005" w:tentative="1">
      <w:start w:val="1"/>
      <w:numFmt w:val="bullet"/>
      <w:lvlText w:val=""/>
      <w:lvlJc w:val="left"/>
      <w:pPr>
        <w:ind w:left="4669" w:hanging="360"/>
      </w:pPr>
      <w:rPr>
        <w:rFonts w:ascii="Wingdings" w:hAnsi="Wingdings" w:hint="default"/>
      </w:rPr>
    </w:lvl>
    <w:lvl w:ilvl="6" w:tplc="042D0001" w:tentative="1">
      <w:start w:val="1"/>
      <w:numFmt w:val="bullet"/>
      <w:lvlText w:val=""/>
      <w:lvlJc w:val="left"/>
      <w:pPr>
        <w:ind w:left="5389" w:hanging="360"/>
      </w:pPr>
      <w:rPr>
        <w:rFonts w:ascii="Symbol" w:hAnsi="Symbol" w:hint="default"/>
      </w:rPr>
    </w:lvl>
    <w:lvl w:ilvl="7" w:tplc="042D0003" w:tentative="1">
      <w:start w:val="1"/>
      <w:numFmt w:val="bullet"/>
      <w:lvlText w:val="o"/>
      <w:lvlJc w:val="left"/>
      <w:pPr>
        <w:ind w:left="6109" w:hanging="360"/>
      </w:pPr>
      <w:rPr>
        <w:rFonts w:ascii="Courier New" w:hAnsi="Courier New" w:cs="Courier New" w:hint="default"/>
      </w:rPr>
    </w:lvl>
    <w:lvl w:ilvl="8" w:tplc="042D0005" w:tentative="1">
      <w:start w:val="1"/>
      <w:numFmt w:val="bullet"/>
      <w:lvlText w:val=""/>
      <w:lvlJc w:val="left"/>
      <w:pPr>
        <w:ind w:left="6829" w:hanging="360"/>
      </w:pPr>
      <w:rPr>
        <w:rFonts w:ascii="Wingdings" w:hAnsi="Wingdings" w:hint="default"/>
      </w:rPr>
    </w:lvl>
  </w:abstractNum>
  <w:num w:numId="1" w16cid:durableId="1863199125">
    <w:abstractNumId w:val="4"/>
  </w:num>
  <w:num w:numId="2" w16cid:durableId="595599962">
    <w:abstractNumId w:val="0"/>
  </w:num>
  <w:num w:numId="3" w16cid:durableId="1318263733">
    <w:abstractNumId w:val="6"/>
  </w:num>
  <w:num w:numId="4" w16cid:durableId="1380595086">
    <w:abstractNumId w:val="5"/>
  </w:num>
  <w:num w:numId="5" w16cid:durableId="1213998253">
    <w:abstractNumId w:val="2"/>
  </w:num>
  <w:num w:numId="6" w16cid:durableId="1467965837">
    <w:abstractNumId w:val="1"/>
  </w:num>
  <w:num w:numId="7" w16cid:durableId="2872468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hyphenationZone w:val="425"/>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D3D4A"/>
    <w:rsid w:val="000915C1"/>
    <w:rsid w:val="00175166"/>
    <w:rsid w:val="003D3D4A"/>
    <w:rsid w:val="00446BE3"/>
    <w:rsid w:val="00973AE8"/>
    <w:rsid w:val="00E22FCB"/>
  </w:rsids>
  <m:mathPr>
    <m:mathFont m:val="Cambria Math"/>
    <m:brkBin m:val="before"/>
    <m:brkBinSub m:val="--"/>
    <m:smallFrac m:val="0"/>
    <m:dispDef/>
    <m:lMargin m:val="0"/>
    <m:rMargin m:val="0"/>
    <m:defJc m:val="centerGroup"/>
    <m:wrapIndent m:val="1440"/>
    <m:intLim m:val="subSup"/>
    <m:naryLim m:val="undOvr"/>
  </m:mathPr>
  <w:themeFontLang w:val="eu-E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2"/>
    </o:shapelayout>
  </w:shapeDefaults>
  <w:doNotEmbedSmartTags/>
  <w:decimalSymbol w:val=","/>
  <w:listSeparator w:val=";"/>
  <w14:docId w14:val="3968E9D8"/>
  <w15:chartTrackingRefBased/>
  <w15:docId w15:val="{0E208343-3198-4EF6-8DF2-26B7FE90E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2"/>
        <w:szCs w:val="22"/>
        <w:lang w:val="eu-ES" w:eastAsia="eu-E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FCB"/>
  </w:style>
  <w:style w:type="paragraph" w:styleId="Ttulo1">
    <w:name w:val="heading 1"/>
    <w:basedOn w:val="Normal"/>
    <w:next w:val="Normal"/>
    <w:qFormat/>
    <w:pPr>
      <w:keepNext/>
      <w:spacing w:before="240" w:after="60"/>
      <w:outlineLvl w:val="0"/>
    </w:pPr>
    <w:rPr>
      <w:b/>
      <w:kern w:val="2"/>
      <w:sz w:val="28"/>
      <w:lang w:val="es-ES"/>
    </w:rPr>
  </w:style>
  <w:style w:type="paragraph" w:styleId="Ttulo4">
    <w:name w:val="heading 4"/>
    <w:basedOn w:val="Normal"/>
    <w:next w:val="Normal"/>
    <w:qFormat/>
    <w:pPr>
      <w:keepNext/>
      <w:jc w:val="center"/>
      <w:outlineLvl w:val="3"/>
    </w:pPr>
    <w:rPr>
      <w:b/>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prrafopredeter1">
    <w:name w:val="Fuente de párrafo predeter.1"/>
  </w:style>
  <w:style w:type="character" w:styleId="Hipervnculo">
    <w:name w:val="Hyperlink"/>
    <w:rPr>
      <w:color w:val="0000FF"/>
      <w:u w:val="single"/>
    </w:rPr>
  </w:style>
  <w:style w:type="character" w:customStyle="1" w:styleId="Hipervnculovisitado1">
    <w:name w:val="Hipervínculo visitado1"/>
    <w:rPr>
      <w:color w:val="800080"/>
      <w:u w:val="single"/>
    </w:rPr>
  </w:style>
  <w:style w:type="character" w:styleId="Refdenotaalpie">
    <w:name w:val="footnote reference"/>
    <w:rPr>
      <w:vertAlign w:val="superscript"/>
    </w:rPr>
  </w:style>
  <w:style w:type="character" w:customStyle="1" w:styleId="FootnoteCharacters">
    <w:name w:val="Footnote Characters"/>
    <w:rPr>
      <w:vertAlign w:val="superscript"/>
    </w:rPr>
  </w:style>
  <w:style w:type="character" w:customStyle="1" w:styleId="ListLabel1">
    <w:name w:val="ListLabel 1"/>
    <w:rPr>
      <w:color w:val="auto"/>
    </w:rPr>
  </w:style>
  <w:style w:type="character" w:customStyle="1" w:styleId="ListLabel2">
    <w:name w:val="ListLabel 2"/>
    <w:rPr>
      <w:color w:val="auto"/>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ListLabel5">
    <w:name w:val="ListLabel 5"/>
    <w:rPr>
      <w:rFonts w:cs="Courier New"/>
    </w:rPr>
  </w:style>
  <w:style w:type="character" w:customStyle="1" w:styleId="ListLabel6">
    <w:name w:val="ListLabel 6"/>
    <w:rPr>
      <w:color w:val="auto"/>
    </w:rPr>
  </w:style>
  <w:style w:type="character" w:customStyle="1" w:styleId="ListLabel7">
    <w:name w:val="ListLabel 7"/>
    <w:rPr>
      <w:rFonts w:cs="Courier New"/>
    </w:rPr>
  </w:style>
  <w:style w:type="character" w:customStyle="1" w:styleId="ListLabel8">
    <w:name w:val="ListLabel 8"/>
    <w:rPr>
      <w:rFonts w:cs="Courier New"/>
    </w:rPr>
  </w:style>
  <w:style w:type="character" w:customStyle="1" w:styleId="ListLabel9">
    <w:name w:val="ListLabel 9"/>
    <w:rPr>
      <w:rFonts w:cs="Courier New"/>
    </w:rPr>
  </w:style>
  <w:style w:type="character" w:customStyle="1" w:styleId="ListLabel10">
    <w:name w:val="ListLabel 10"/>
    <w:rPr>
      <w:rFonts w:eastAsia="Times New Roman" w:cs="Times New Roman"/>
    </w:rPr>
  </w:style>
  <w:style w:type="character" w:customStyle="1" w:styleId="ListLabel11">
    <w:name w:val="ListLabel 11"/>
    <w:rPr>
      <w:rFonts w:cs="Courier New"/>
    </w:rPr>
  </w:style>
  <w:style w:type="character" w:customStyle="1" w:styleId="ListLabel12">
    <w:name w:val="ListLabel 12"/>
    <w:rPr>
      <w:rFonts w:cs="Courier New"/>
    </w:rPr>
  </w:style>
  <w:style w:type="character" w:customStyle="1" w:styleId="ListLabel13">
    <w:name w:val="ListLabel 13"/>
    <w:rPr>
      <w:rFonts w:cs="Courier New"/>
    </w:rPr>
  </w:style>
  <w:style w:type="character" w:customStyle="1" w:styleId="ListLabel14">
    <w:name w:val="ListLabel 14"/>
    <w:rPr>
      <w:rFonts w:ascii="Helvetica" w:hAnsi="Helvetica"/>
      <w:sz w:val="16"/>
      <w:szCs w:val="16"/>
    </w:rPr>
  </w:style>
  <w:style w:type="paragraph" w:customStyle="1" w:styleId="Ttulo10">
    <w:name w:val="Título1"/>
    <w:basedOn w:val="Normal"/>
    <w:next w:val="Textoindependiente"/>
    <w:pPr>
      <w:keepNext/>
      <w:spacing w:before="240"/>
    </w:pPr>
    <w:rPr>
      <w:rFonts w:ascii="Liberation Sans" w:eastAsia="Microsoft YaHei" w:hAnsi="Liberation Sans" w:cs="Mangal"/>
      <w:sz w:val="28"/>
      <w:szCs w:val="28"/>
    </w:rPr>
  </w:style>
  <w:style w:type="paragraph" w:styleId="Textoindependiente">
    <w:name w:val="Body Text"/>
    <w:basedOn w:val="Normal"/>
    <w:pPr>
      <w:ind w:right="566"/>
    </w:pPr>
    <w:rPr>
      <w:lang w:val="es-ES"/>
    </w:rPr>
  </w:style>
  <w:style w:type="paragraph" w:styleId="Lista">
    <w:name w:val="List"/>
    <w:basedOn w:val="Textoindependiente"/>
    <w:rPr>
      <w:rFonts w:cs="Mangal"/>
    </w:rPr>
  </w:style>
  <w:style w:type="paragraph" w:styleId="Descripcin">
    <w:name w:val="caption"/>
    <w:basedOn w:val="Normal"/>
    <w:qFormat/>
    <w:pPr>
      <w:suppressLineNumbers/>
      <w:spacing w:before="120"/>
    </w:pPr>
    <w:rPr>
      <w:rFonts w:cs="Mangal"/>
      <w:i/>
      <w:iCs/>
      <w:szCs w:val="24"/>
    </w:rPr>
  </w:style>
  <w:style w:type="paragraph" w:customStyle="1" w:styleId="ndice">
    <w:name w:val="Índice"/>
    <w:basedOn w:val="Normal"/>
    <w:pPr>
      <w:suppressLineNumbers/>
    </w:pPr>
    <w:rPr>
      <w:rFonts w:cs="Mangal"/>
    </w:rPr>
  </w:style>
  <w:style w:type="paragraph" w:styleId="Encabezado">
    <w:name w:val="header"/>
    <w:basedOn w:val="Normal"/>
    <w:pPr>
      <w:tabs>
        <w:tab w:val="center" w:pos="4252"/>
        <w:tab w:val="right" w:pos="8504"/>
      </w:tabs>
    </w:pPr>
  </w:style>
  <w:style w:type="paragraph" w:styleId="Piedepgina">
    <w:name w:val="footer"/>
    <w:basedOn w:val="Normal"/>
    <w:pPr>
      <w:tabs>
        <w:tab w:val="center" w:pos="4252"/>
        <w:tab w:val="right" w:pos="8504"/>
      </w:tabs>
    </w:pPr>
  </w:style>
  <w:style w:type="paragraph" w:customStyle="1" w:styleId="estilolineasescudo">
    <w:name w:val="estilo_lineas_escudo"/>
    <w:basedOn w:val="Descripcin1"/>
    <w:pPr>
      <w:ind w:right="57"/>
      <w:textAlignment w:val="baseline"/>
    </w:pPr>
    <w:rPr>
      <w:rFonts w:ascii="Arial Narrow" w:hAnsi="Arial Narrow"/>
      <w:sz w:val="18"/>
    </w:rPr>
  </w:style>
  <w:style w:type="paragraph" w:customStyle="1" w:styleId="estilolineasescudodetalle">
    <w:name w:val="estilo_lineas_escudo_detalle"/>
    <w:basedOn w:val="Normal"/>
    <w:pPr>
      <w:ind w:right="57"/>
      <w:textAlignment w:val="baseline"/>
    </w:pPr>
    <w:rPr>
      <w:rFonts w:ascii="Arial Narrow" w:hAnsi="Arial Narrow"/>
      <w:sz w:val="18"/>
    </w:rPr>
  </w:style>
  <w:style w:type="paragraph" w:customStyle="1" w:styleId="Descripcin1">
    <w:name w:val="Descripción1"/>
    <w:basedOn w:val="Normal"/>
    <w:next w:val="Normal"/>
    <w:rPr>
      <w:b/>
      <w:bCs/>
      <w:sz w:val="20"/>
    </w:rPr>
  </w:style>
  <w:style w:type="paragraph" w:customStyle="1" w:styleId="Textoindependiente21">
    <w:name w:val="Texto independiente 21"/>
    <w:basedOn w:val="Normal"/>
    <w:rPr>
      <w:lang w:val="es-ES"/>
    </w:rPr>
  </w:style>
  <w:style w:type="paragraph" w:customStyle="1" w:styleId="Textodeglobo1">
    <w:name w:val="Texto de globo1"/>
    <w:basedOn w:val="Normal"/>
    <w:rPr>
      <w:rFonts w:ascii="Tahoma" w:hAnsi="Tahoma" w:cs="Tahoma"/>
      <w:sz w:val="16"/>
      <w:szCs w:val="16"/>
    </w:rPr>
  </w:style>
  <w:style w:type="paragraph" w:styleId="Textonotapie">
    <w:name w:val="footnote text"/>
    <w:basedOn w:val="Normal"/>
    <w:rPr>
      <w:sz w:val="20"/>
    </w:rPr>
  </w:style>
  <w:style w:type="paragraph" w:customStyle="1" w:styleId="H2">
    <w:name w:val="H2"/>
    <w:basedOn w:val="Normal"/>
    <w:next w:val="Normal"/>
    <w:pPr>
      <w:keepNext/>
      <w:spacing w:before="100" w:after="100"/>
    </w:pPr>
    <w:rPr>
      <w:rFonts w:ascii="Times New Roman" w:hAnsi="Times New Roman"/>
      <w:b/>
      <w:sz w:val="36"/>
      <w:lang w:val="es-ES"/>
    </w:rPr>
  </w:style>
  <w:style w:type="paragraph" w:customStyle="1" w:styleId="xl1">
    <w:name w:val="xl1"/>
    <w:basedOn w:val="Normal"/>
    <w:pPr>
      <w:spacing w:after="240"/>
      <w:ind w:left="300" w:right="75" w:hanging="225"/>
    </w:pPr>
    <w:rPr>
      <w:rFonts w:ascii="Times New Roman" w:hAnsi="Times New Roman"/>
      <w:szCs w:val="24"/>
      <w:lang w:val="es-ES"/>
    </w:rPr>
  </w:style>
  <w:style w:type="paragraph" w:styleId="NormalWeb">
    <w:name w:val="Normal (Web)"/>
    <w:basedOn w:val="Normal"/>
    <w:pPr>
      <w:spacing w:before="100" w:after="100"/>
    </w:pPr>
    <w:rPr>
      <w:rFonts w:ascii="Times New Roman" w:hAnsi="Times New Roman"/>
      <w:szCs w:val="24"/>
      <w:lang w:val="es-ES"/>
    </w:rPr>
  </w:style>
  <w:style w:type="paragraph" w:styleId="Prrafodelista">
    <w:name w:val="List Paragraph"/>
    <w:basedOn w:val="Normal"/>
    <w:uiPriority w:val="34"/>
    <w:qFormat/>
    <w:rsid w:val="00446BE3"/>
    <w:pPr>
      <w:spacing w:after="160" w:line="259" w:lineRule="auto"/>
      <w:ind w:left="720"/>
      <w:contextualSpacing/>
      <w:jc w:val="left"/>
    </w:pPr>
    <w:rPr>
      <w:rFonts w:eastAsia="Calibri" w:cs="Arial"/>
      <w:kern w:val="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hyperlink" Target="http://www.huarte.es/" TargetMode="External"/><Relationship Id="rId2" Type="http://schemas.openxmlformats.org/officeDocument/2006/relationships/hyperlink" Target="mailto:ayuntamiento@huarte.es"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720</Words>
  <Characters>4110</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Ana Mindegia Ilarregi</cp:lastModifiedBy>
  <cp:revision>2</cp:revision>
  <cp:lastPrinted>2016-04-25T06:13:00Z</cp:lastPrinted>
  <dcterms:created xsi:type="dcterms:W3CDTF">2024-02-27T10:48:00Z</dcterms:created>
  <dcterms:modified xsi:type="dcterms:W3CDTF">2024-02-27T10:48:00Z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